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7844">
      <w:pPr>
        <w:pStyle w:val="DefaultStyle"/>
        <w:tabs>
          <w:tab w:val="left" w:pos="270"/>
          <w:tab w:val="left" w:pos="5400"/>
        </w:tabs>
      </w:pPr>
      <w:r>
        <w:t>Thursday, 12 May 2016</w:t>
      </w:r>
    </w:p>
    <w:p w:rsidR="00000000" w:rsidRDefault="00736A67">
      <w:pPr>
        <w:pStyle w:val="DefaultStyle"/>
        <w:tabs>
          <w:tab w:val="left" w:pos="270"/>
          <w:tab w:val="left" w:pos="5400"/>
        </w:tabs>
      </w:pPr>
      <w:r>
        <w:t xml:space="preserve">29:12           </w:t>
      </w:r>
      <w:r w:rsidR="00717844">
        <w:t>Volume 29   Number 12</w:t>
      </w:r>
    </w:p>
    <w:p w:rsidR="00000000" w:rsidRDefault="00717844">
      <w:pPr>
        <w:pStyle w:val="DefaultStyle"/>
        <w:tabs>
          <w:tab w:val="left" w:pos="270"/>
        </w:tabs>
      </w:pPr>
      <w:r>
        <w:t>Published by WW II History Round Table</w:t>
      </w:r>
    </w:p>
    <w:p w:rsidR="00000000" w:rsidRDefault="00717844">
      <w:pPr>
        <w:pStyle w:val="DefaultStyle"/>
        <w:pBdr>
          <w:bottom w:val="single" w:sz="8" w:space="1" w:color="000001"/>
        </w:pBdr>
        <w:tabs>
          <w:tab w:val="left" w:pos="270"/>
        </w:tabs>
      </w:pPr>
      <w:r>
        <w:t>Edited by Dr. Conni</w:t>
      </w:r>
      <w:r>
        <w:t xml:space="preserve">e Harris </w:t>
      </w:r>
    </w:p>
    <w:p w:rsidR="00000000" w:rsidRDefault="00717844">
      <w:pPr>
        <w:pStyle w:val="DefaultStyle"/>
        <w:pBdr>
          <w:bottom w:val="single" w:sz="8" w:space="1" w:color="000001"/>
        </w:pBdr>
        <w:tabs>
          <w:tab w:val="left" w:pos="270"/>
        </w:tabs>
      </w:pPr>
      <w:r>
        <w:t>www.mn-ww2roundtable.org</w:t>
      </w:r>
    </w:p>
    <w:p w:rsidR="00000000" w:rsidRDefault="00717844">
      <w:pPr>
        <w:pStyle w:val="DefaultStyle"/>
        <w:widowControl w:val="0"/>
        <w:tabs>
          <w:tab w:val="left" w:pos="360"/>
        </w:tabs>
        <w:rPr>
          <w:sz w:val="12"/>
          <w:szCs w:val="12"/>
        </w:rPr>
      </w:pPr>
    </w:p>
    <w:p w:rsidR="00000000" w:rsidRDefault="00717844">
      <w:pPr>
        <w:pStyle w:val="DefaultStyle"/>
        <w:widowControl w:val="0"/>
        <w:tabs>
          <w:tab w:val="left" w:pos="360"/>
        </w:tabs>
      </w:pPr>
      <w:r>
        <w:rPr>
          <w:rFonts w:ascii="TimesNewRomanPS-BoldMT" w:hAnsi="TimesNewRomanPS-BoldMT" w:cs="TimesNewRomanPS-BoldMT"/>
          <w:b/>
          <w:bCs/>
          <w:sz w:val="28"/>
          <w:szCs w:val="28"/>
        </w:rPr>
        <w:t xml:space="preserve">Welcome to the May meeting of the Dr. Harold C. Deutsch World War II History Round Table. </w:t>
      </w:r>
      <w:r>
        <w:t>Tonight’s speaker is Michael Neiberg, professor of history and the Henry L. Stimson Chair of History and Security Studies in the D</w:t>
      </w:r>
      <w:r>
        <w:t xml:space="preserve">epartment of National Security and Strategy at the US Army War College. He will discuss his latest work, </w:t>
      </w:r>
      <w:r>
        <w:rPr>
          <w:rFonts w:ascii="TimesNewRomanPS-ItalicMT" w:hAnsi="TimesNewRomanPS-ItalicMT" w:cs="TimesNewRomanPS-ItalicMT"/>
          <w:i/>
          <w:iCs/>
        </w:rPr>
        <w:t>Potsdam</w:t>
      </w:r>
      <w:r>
        <w:t xml:space="preserve">, offering a different interpretation of that conference as an effort to correct the mistakes of Versailles rather than as the opening salvo of </w:t>
      </w:r>
      <w:r>
        <w:t xml:space="preserve">the Cold War. </w:t>
      </w:r>
    </w:p>
    <w:p w:rsidR="00000000" w:rsidRDefault="00717844">
      <w:pPr>
        <w:pStyle w:val="DefaultStyle"/>
        <w:widowControl w:val="0"/>
        <w:tabs>
          <w:tab w:val="left" w:pos="360"/>
        </w:tabs>
      </w:pPr>
    </w:p>
    <w:p w:rsidR="00000000" w:rsidRDefault="00717844">
      <w:pPr>
        <w:tabs>
          <w:tab w:val="left" w:pos="264"/>
        </w:tabs>
        <w:rPr>
          <w:sz w:val="12"/>
          <w:szCs w:val="12"/>
        </w:rPr>
      </w:pPr>
      <w:r>
        <w:rPr>
          <w:rFonts w:ascii="TimesNewRomanPSMT" w:hAnsi="TimesNewRomanPSMT" w:cs="TimesNewRomanPSMT"/>
        </w:rPr>
        <w:t>Historians often mark the start of the Cold War with either the Yalta Conference of February 1945 or the Potsdam Conference in August, 1945. Despite growing tensions, none of the Great Powers (Great Britain, the United States, and the Soviet Union) were co</w:t>
      </w:r>
      <w:r>
        <w:rPr>
          <w:rFonts w:ascii="TimesNewRomanPSMT" w:hAnsi="TimesNewRomanPSMT" w:cs="TimesNewRomanPSMT"/>
        </w:rPr>
        <w:t>gnizant of that future conflict when they met in Berlin in 1945. Rather, they worried about making the same mistakes as the diplomats of 1919. To them the Second World War did not begin with the Nazi invasion of Poland in 1939 but on a street corner in Sar</w:t>
      </w:r>
      <w:r>
        <w:rPr>
          <w:rFonts w:ascii="TimesNewRomanPSMT" w:hAnsi="TimesNewRomanPSMT" w:cs="TimesNewRomanPSMT"/>
        </w:rPr>
        <w:t xml:space="preserve">ajevo in 1914. </w:t>
      </w:r>
    </w:p>
    <w:p w:rsidR="00000000" w:rsidRDefault="00717844">
      <w:pPr>
        <w:pStyle w:val="DefaultStyle"/>
        <w:widowControl w:val="0"/>
        <w:tabs>
          <w:tab w:val="left" w:pos="360"/>
        </w:tabs>
        <w:rPr>
          <w:sz w:val="12"/>
          <w:szCs w:val="12"/>
        </w:rPr>
      </w:pPr>
    </w:p>
    <w:p w:rsidR="00000000" w:rsidRDefault="00717844">
      <w:pPr>
        <w:tabs>
          <w:tab w:val="left" w:pos="264"/>
        </w:tabs>
        <w:rPr>
          <w:rFonts w:ascii="TimesNewRomanPSMT" w:hAnsi="TimesNewRomanPSMT" w:cs="TimesNewRomanPSMT"/>
        </w:rPr>
      </w:pPr>
      <w:r>
        <w:rPr>
          <w:rFonts w:ascii="TimesNewRomanPSMT" w:hAnsi="TimesNewRomanPSMT" w:cs="TimesNewRomanPSMT"/>
        </w:rPr>
        <w:tab/>
        <w:t>The Versailles Conference of 1919 loomed large on the minds of the men who gathered at Potsdam. Much like 1919 it would be a gathering of victorious powers. There would be no German or Italian participation. Moreover, France would have no</w:t>
      </w:r>
      <w:r>
        <w:rPr>
          <w:rFonts w:ascii="TimesNewRomanPSMT" w:hAnsi="TimesNewRomanPSMT" w:cs="TimesNewRomanPSMT"/>
        </w:rPr>
        <w:t xml:space="preserve"> say at the conference, even with Charles De </w:t>
      </w:r>
      <w:r w:rsidR="00736A67">
        <w:rPr>
          <w:rFonts w:ascii="TimesNewRomanPSMT" w:hAnsi="TimesNewRomanPSMT" w:cs="TimesNewRomanPSMT"/>
        </w:rPr>
        <w:t>Gaulle's</w:t>
      </w:r>
      <w:r>
        <w:rPr>
          <w:rFonts w:ascii="TimesNewRomanPSMT" w:hAnsi="TimesNewRomanPSMT" w:cs="TimesNewRomanPSMT"/>
        </w:rPr>
        <w:t xml:space="preserve"> bluster, that once great power would only be given the scraps the Big Three allowed it. Poland and the other Eastern European countries would also have no </w:t>
      </w:r>
      <w:r>
        <w:rPr>
          <w:rFonts w:ascii="TimesNewRomanPSMT" w:hAnsi="TimesNewRomanPSMT" w:cs="TimesNewRomanPSMT"/>
        </w:rPr>
        <w:lastRenderedPageBreak/>
        <w:t>say since their fates were sealed by the invadi</w:t>
      </w:r>
      <w:r>
        <w:rPr>
          <w:rFonts w:ascii="TimesNewRomanPSMT" w:hAnsi="TimesNewRomanPSMT" w:cs="TimesNewRomanPSMT"/>
        </w:rPr>
        <w:t xml:space="preserve">ng Soviet Armies. </w:t>
      </w:r>
    </w:p>
    <w:p w:rsidR="00000000" w:rsidRDefault="00717844">
      <w:pPr>
        <w:pStyle w:val="DefaultStyle"/>
        <w:widowControl w:val="0"/>
        <w:tabs>
          <w:tab w:val="left" w:pos="360"/>
        </w:tabs>
        <w:rPr>
          <w:sz w:val="12"/>
          <w:szCs w:val="12"/>
        </w:rPr>
      </w:pPr>
    </w:p>
    <w:p w:rsidR="00000000" w:rsidRDefault="00717844">
      <w:pPr>
        <w:tabs>
          <w:tab w:val="left" w:pos="264"/>
        </w:tabs>
        <w:rPr>
          <w:rFonts w:ascii="TimesNewRomanPSMT" w:hAnsi="TimesNewRomanPSMT" w:cs="TimesNewRomanPSMT"/>
        </w:rPr>
      </w:pPr>
      <w:r>
        <w:rPr>
          <w:rFonts w:ascii="TimesNewRomanPSMT" w:hAnsi="TimesNewRomanPSMT" w:cs="TimesNewRomanPSMT"/>
        </w:rPr>
        <w:tab/>
        <w:t>Great Britain, even though a victor and still a Great Power with a seat at the table, was a pretender in spite of the haughty talk of Prime Minister Winston Churchill. Britain’s dire economic situation made it a junior partner to the U</w:t>
      </w:r>
      <w:r>
        <w:rPr>
          <w:rFonts w:ascii="TimesNewRomanPSMT" w:hAnsi="TimesNewRomanPSMT" w:cs="TimesNewRomanPSMT"/>
        </w:rPr>
        <w:t xml:space="preserve">nited States.  Churchill and Anthony Eden tried to pass themselves off as the elder statesmen and the tutors to the new US President, Harry Truman, but were impotent when it came backing up any of their ideas with real power. Their tutelage came to naught </w:t>
      </w:r>
      <w:r>
        <w:rPr>
          <w:rFonts w:ascii="TimesNewRomanPSMT" w:hAnsi="TimesNewRomanPSMT" w:cs="TimesNewRomanPSMT"/>
        </w:rPr>
        <w:t xml:space="preserve">in any case since Churchill was replaced in the midst of the conference with the new Labor Party Prime Minister, Clement Attlee. </w:t>
      </w:r>
    </w:p>
    <w:p w:rsidR="00000000" w:rsidRDefault="00717844">
      <w:pPr>
        <w:pStyle w:val="DefaultStyle"/>
        <w:widowControl w:val="0"/>
        <w:tabs>
          <w:tab w:val="left" w:pos="360"/>
        </w:tabs>
        <w:rPr>
          <w:sz w:val="12"/>
          <w:szCs w:val="12"/>
        </w:rPr>
      </w:pPr>
    </w:p>
    <w:p w:rsidR="00000000" w:rsidRDefault="00717844">
      <w:pPr>
        <w:tabs>
          <w:tab w:val="left" w:pos="264"/>
        </w:tabs>
        <w:rPr>
          <w:rFonts w:ascii="TimesNewRomanPSMT" w:hAnsi="TimesNewRomanPSMT" w:cs="TimesNewRomanPSMT"/>
        </w:rPr>
      </w:pPr>
      <w:r>
        <w:rPr>
          <w:rFonts w:ascii="TimesNewRomanPSMT" w:hAnsi="TimesNewRomanPSMT" w:cs="TimesNewRomanPSMT"/>
        </w:rPr>
        <w:tab/>
        <w:t>Attlee too was new to the world of diplomacy, but he was luckier in the sense that he had been informed of decisions by Chur</w:t>
      </w:r>
      <w:r>
        <w:rPr>
          <w:rFonts w:ascii="TimesNewRomanPSMT" w:hAnsi="TimesNewRomanPSMT" w:cs="TimesNewRomanPSMT"/>
        </w:rPr>
        <w:t>chill’s government. By contrast, Harry Truman came into office two months before the conference, upon the death of Franklin Roosevelt, knowing few details regarding the administrations previous dealings with Great Britain and the Soviet Union. They faced J</w:t>
      </w:r>
      <w:r>
        <w:rPr>
          <w:rFonts w:ascii="TimesNewRomanPSMT" w:hAnsi="TimesNewRomanPSMT" w:cs="TimesNewRomanPSMT"/>
        </w:rPr>
        <w:t>osef Stalin of the Soviet Union, who worried about the transient nature of leaders of democracy and whether they might not to back out of their commitments, like the United States did with the Versailles Treaty of 1919.</w:t>
      </w:r>
    </w:p>
    <w:p w:rsidR="00000000" w:rsidRDefault="00717844">
      <w:pPr>
        <w:pStyle w:val="DefaultStyle"/>
        <w:widowControl w:val="0"/>
        <w:tabs>
          <w:tab w:val="left" w:pos="360"/>
        </w:tabs>
        <w:rPr>
          <w:sz w:val="12"/>
          <w:szCs w:val="12"/>
        </w:rPr>
      </w:pPr>
    </w:p>
    <w:p w:rsidR="00000000" w:rsidRDefault="00717844">
      <w:pPr>
        <w:tabs>
          <w:tab w:val="left" w:pos="264"/>
        </w:tabs>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One of the highlights of the Versailles Treaty was Woodrow Wilson’s ideal of national self-determination. This is the idea that an ethnic groups would have the right to form their own nation state. In 1914, nationalism proved to be an important concept for</w:t>
      </w:r>
      <w:r>
        <w:rPr>
          <w:rFonts w:ascii="TimesNewRomanPSMT" w:hAnsi="TimesNewRomanPSMT" w:cs="TimesNewRomanPSMT"/>
        </w:rPr>
        <w:t xml:space="preserve"> the people living under the Hapsburgs, Hohenzollern, and Romanov Empires. The Versailles Treaty carved out the countries of </w:t>
      </w:r>
      <w:r>
        <w:rPr>
          <w:rFonts w:ascii="TimesNewRomanPSMT" w:hAnsi="TimesNewRomanPSMT" w:cs="TimesNewRomanPSMT"/>
        </w:rPr>
        <w:lastRenderedPageBreak/>
        <w:t>Poland, Czechoslovakia, Hungary, Rumania, and Yugoslavia to bring Wilson’s ideas to fruition, even if the ethnicities of their citi</w:t>
      </w:r>
      <w:r>
        <w:rPr>
          <w:rFonts w:ascii="TimesNewRomanPSMT" w:hAnsi="TimesNewRomanPSMT" w:cs="TimesNewRomanPSMT"/>
        </w:rPr>
        <w:t>zens did not follow a strict interpretation. This Wilsonian ideal seemed to lay in ruin in 1945, the Eastern European countries were under the domination of the Soviets and ethnic groups were involu</w:t>
      </w:r>
      <w:r>
        <w:rPr>
          <w:rFonts w:ascii="TimesNewRomanPSMT" w:hAnsi="TimesNewRomanPSMT" w:cs="TimesNewRomanPSMT"/>
        </w:rPr>
        <w:t>n</w:t>
      </w:r>
      <w:r>
        <w:rPr>
          <w:rFonts w:ascii="TimesNewRomanPSMT" w:hAnsi="TimesNewRomanPSMT" w:cs="TimesNewRomanPSMT"/>
        </w:rPr>
        <w:t>tarily re-shuffled throughout Europe. National self-deter</w:t>
      </w:r>
      <w:r>
        <w:rPr>
          <w:rFonts w:ascii="TimesNewRomanPSMT" w:hAnsi="TimesNewRomanPSMT" w:cs="TimesNewRomanPSMT"/>
        </w:rPr>
        <w:t xml:space="preserve">mination was settled at the point of a gun in Europe, but it would survive in the rest of the world after 1945 with the slow demise of the British and French colonial empires. </w:t>
      </w:r>
    </w:p>
    <w:p w:rsidR="00000000" w:rsidRDefault="00717844">
      <w:pPr>
        <w:pStyle w:val="DefaultStyle"/>
        <w:widowControl w:val="0"/>
        <w:tabs>
          <w:tab w:val="left" w:pos="360"/>
        </w:tabs>
        <w:rPr>
          <w:sz w:val="12"/>
          <w:szCs w:val="12"/>
        </w:rPr>
      </w:pPr>
    </w:p>
    <w:p w:rsidR="00000000" w:rsidRDefault="00717844">
      <w:pPr>
        <w:tabs>
          <w:tab w:val="left" w:pos="264"/>
        </w:tabs>
        <w:rPr>
          <w:rFonts w:ascii="Times-Bold" w:hAnsi="Times-Bold" w:cs="Times-Bold"/>
          <w:b/>
          <w:bCs/>
        </w:rPr>
      </w:pPr>
      <w:r>
        <w:rPr>
          <w:rFonts w:ascii="TimesNewRomanPSMT" w:hAnsi="TimesNewRomanPSMT" w:cs="TimesNewRomanPSMT"/>
        </w:rPr>
        <w:tab/>
        <w:t>When Truman departed Potsdam, the conference was considered a success, becaus</w:t>
      </w:r>
      <w:r>
        <w:rPr>
          <w:rFonts w:ascii="TimesNewRomanPSMT" w:hAnsi="TimesNewRomanPSMT" w:cs="TimesNewRomanPSMT"/>
        </w:rPr>
        <w:t>e it solved the problems of the years 1914 to 1945 as the conferees understood them, most notably the German question. The Cold War still lay in the future, but the “long peace” established at Potsdam proved to be more durable than the ghost of Versailles.</w:t>
      </w:r>
      <w:r>
        <w:rPr>
          <w:rFonts w:ascii="TimesNewRomanPSMT" w:hAnsi="TimesNewRomanPSMT" w:cs="TimesNewRomanPSMT"/>
        </w:rPr>
        <w:t xml:space="preserve"> </w:t>
      </w:r>
    </w:p>
    <w:p w:rsidR="00000000" w:rsidRDefault="00717844">
      <w:pPr>
        <w:pStyle w:val="DefaultStyle"/>
        <w:widowControl w:val="0"/>
        <w:tabs>
          <w:tab w:val="left" w:pos="360"/>
        </w:tabs>
        <w:rPr>
          <w:sz w:val="12"/>
          <w:szCs w:val="12"/>
        </w:rPr>
      </w:pPr>
    </w:p>
    <w:p w:rsidR="00000000" w:rsidRDefault="00717844">
      <w:pPr>
        <w:pStyle w:val="DefaultStyle"/>
        <w:widowControl w:val="0"/>
        <w:tabs>
          <w:tab w:val="left" w:pos="360"/>
        </w:tabs>
        <w:rPr>
          <w:rFonts w:ascii="Times-Roman" w:hAnsi="Times-Roman" w:cs="Times-Roman"/>
          <w:sz w:val="10"/>
          <w:szCs w:val="10"/>
        </w:rPr>
      </w:pPr>
      <w:r>
        <w:rPr>
          <w:rFonts w:ascii="TimesNewRomanPS-BoldMT" w:hAnsi="TimesNewRomanPS-BoldMT" w:cs="TimesNewRomanPS-BoldMT"/>
          <w:b/>
          <w:bCs/>
        </w:rPr>
        <w:t>Further Readings:</w:t>
      </w:r>
    </w:p>
    <w:p w:rsidR="00000000" w:rsidRDefault="00717844">
      <w:pPr>
        <w:rPr>
          <w:sz w:val="22"/>
          <w:szCs w:val="22"/>
        </w:rPr>
      </w:pPr>
      <w:r>
        <w:rPr>
          <w:rFonts w:ascii="TimesNewRomanPSMT" w:hAnsi="TimesNewRomanPSMT" w:cs="TimesNewRomanPSMT"/>
          <w:sz w:val="22"/>
          <w:szCs w:val="22"/>
        </w:rPr>
        <w:t xml:space="preserve">Michael Neiberg, </w:t>
      </w:r>
      <w:r>
        <w:rPr>
          <w:rFonts w:ascii="TimesNewRomanPS-ItalicMT" w:hAnsi="TimesNewRomanPS-ItalicMT" w:cs="TimesNewRomanPS-ItalicMT"/>
          <w:i/>
          <w:iCs/>
          <w:sz w:val="22"/>
          <w:szCs w:val="22"/>
        </w:rPr>
        <w:t>Potsdam: The End of World War II and the Remaking of Europe</w:t>
      </w:r>
      <w:r>
        <w:rPr>
          <w:rFonts w:ascii="TimesNewRomanPSMT" w:hAnsi="TimesNewRomanPSMT" w:cs="TimesNewRomanPSMT"/>
          <w:sz w:val="22"/>
          <w:szCs w:val="22"/>
        </w:rPr>
        <w:t xml:space="preserve"> (New York: Basic Books, 2015).</w:t>
      </w:r>
    </w:p>
    <w:p w:rsidR="00000000" w:rsidRDefault="00717844">
      <w:pPr>
        <w:rPr>
          <w:sz w:val="22"/>
          <w:szCs w:val="22"/>
        </w:rPr>
      </w:pPr>
      <w:r>
        <w:rPr>
          <w:rFonts w:ascii="TimesNewRomanPSMT" w:hAnsi="TimesNewRomanPSMT" w:cs="TimesNewRomanPSMT"/>
          <w:sz w:val="22"/>
          <w:szCs w:val="22"/>
        </w:rPr>
        <w:t xml:space="preserve">Michael Dobbs, </w:t>
      </w:r>
      <w:r>
        <w:rPr>
          <w:rFonts w:ascii="TimesNewRomanPS-ItalicMT" w:hAnsi="TimesNewRomanPS-ItalicMT" w:cs="TimesNewRomanPS-ItalicMT"/>
          <w:i/>
          <w:iCs/>
          <w:sz w:val="22"/>
          <w:szCs w:val="22"/>
        </w:rPr>
        <w:t>Six Months in 1945: FDR, Stalin, Churchill, and Truman – from World War to Cold War</w:t>
      </w:r>
      <w:r>
        <w:rPr>
          <w:rFonts w:ascii="TimesNewRomanPSMT" w:hAnsi="TimesNewRomanPSMT" w:cs="TimesNewRomanPSMT"/>
          <w:sz w:val="22"/>
          <w:szCs w:val="22"/>
        </w:rPr>
        <w:t xml:space="preserve"> (New York: Vintage Books, 20</w:t>
      </w:r>
      <w:r>
        <w:rPr>
          <w:rFonts w:ascii="TimesNewRomanPSMT" w:hAnsi="TimesNewRomanPSMT" w:cs="TimesNewRomanPSMT"/>
          <w:sz w:val="22"/>
          <w:szCs w:val="22"/>
        </w:rPr>
        <w:t xml:space="preserve">12). </w:t>
      </w:r>
    </w:p>
    <w:p w:rsidR="00000000" w:rsidRDefault="00717844">
      <w:pPr>
        <w:rPr>
          <w:sz w:val="22"/>
          <w:szCs w:val="22"/>
        </w:rPr>
      </w:pPr>
      <w:r>
        <w:rPr>
          <w:rFonts w:ascii="TimesNewRomanPSMT" w:hAnsi="TimesNewRomanPSMT" w:cs="TimesNewRomanPSMT"/>
          <w:sz w:val="22"/>
          <w:szCs w:val="22"/>
        </w:rPr>
        <w:t xml:space="preserve">Wilson Miscamble, </w:t>
      </w:r>
      <w:r>
        <w:rPr>
          <w:rFonts w:ascii="TimesNewRomanPS-ItalicMT" w:hAnsi="TimesNewRomanPS-ItalicMT" w:cs="TimesNewRomanPS-ItalicMT"/>
          <w:i/>
          <w:iCs/>
          <w:sz w:val="22"/>
          <w:szCs w:val="22"/>
        </w:rPr>
        <w:t>From Roosevelt to Truman: Potsdam, Hiroshima, and the Cold War</w:t>
      </w:r>
      <w:r>
        <w:rPr>
          <w:rFonts w:ascii="TimesNewRomanPSMT" w:hAnsi="TimesNewRomanPSMT" w:cs="TimesNewRomanPSMT"/>
          <w:sz w:val="22"/>
          <w:szCs w:val="22"/>
        </w:rPr>
        <w:t xml:space="preserve"> (New York: Cambridge University Press, 2007).</w:t>
      </w:r>
    </w:p>
    <w:p w:rsidR="00000000" w:rsidRDefault="00717844">
      <w:pPr>
        <w:rPr>
          <w:sz w:val="22"/>
          <w:szCs w:val="22"/>
        </w:rPr>
      </w:pPr>
      <w:r>
        <w:rPr>
          <w:rFonts w:ascii="TimesNewRomanPSMT" w:hAnsi="TimesNewRomanPSMT" w:cs="TimesNewRomanPSMT"/>
          <w:sz w:val="22"/>
          <w:szCs w:val="22"/>
        </w:rPr>
        <w:t xml:space="preserve">Charles Mee, </w:t>
      </w:r>
      <w:r>
        <w:rPr>
          <w:rFonts w:ascii="TimesNewRomanPS-ItalicMT" w:hAnsi="TimesNewRomanPS-ItalicMT" w:cs="TimesNewRomanPS-ItalicMT"/>
          <w:i/>
          <w:iCs/>
          <w:sz w:val="22"/>
          <w:szCs w:val="22"/>
        </w:rPr>
        <w:t>Meeting at Potsdam</w:t>
      </w:r>
      <w:r>
        <w:rPr>
          <w:rFonts w:ascii="TimesNewRomanPSMT" w:hAnsi="TimesNewRomanPSMT" w:cs="TimesNewRomanPSMT"/>
          <w:sz w:val="22"/>
          <w:szCs w:val="22"/>
        </w:rPr>
        <w:t xml:space="preserve"> (New York: M. Evans &amp; Co., 1975).</w:t>
      </w:r>
    </w:p>
    <w:p w:rsidR="00000000" w:rsidRDefault="00717844">
      <w:pPr>
        <w:rPr>
          <w:sz w:val="12"/>
          <w:szCs w:val="12"/>
        </w:rPr>
      </w:pPr>
      <w:r>
        <w:rPr>
          <w:rFonts w:ascii="TimesNewRomanPSMT" w:hAnsi="TimesNewRomanPSMT" w:cs="TimesNewRomanPSMT"/>
          <w:sz w:val="22"/>
          <w:szCs w:val="22"/>
        </w:rPr>
        <w:t xml:space="preserve">Herbert Feis, </w:t>
      </w:r>
      <w:r>
        <w:rPr>
          <w:rFonts w:ascii="TimesNewRomanPS-ItalicMT" w:hAnsi="TimesNewRomanPS-ItalicMT" w:cs="TimesNewRomanPS-ItalicMT"/>
          <w:i/>
          <w:iCs/>
          <w:sz w:val="22"/>
          <w:szCs w:val="22"/>
        </w:rPr>
        <w:t>Between War and Peace: The Potsdam Conferen</w:t>
      </w:r>
      <w:r>
        <w:rPr>
          <w:rFonts w:ascii="TimesNewRomanPS-ItalicMT" w:hAnsi="TimesNewRomanPS-ItalicMT" w:cs="TimesNewRomanPS-ItalicMT"/>
          <w:i/>
          <w:iCs/>
          <w:sz w:val="22"/>
          <w:szCs w:val="22"/>
        </w:rPr>
        <w:t>ce</w:t>
      </w:r>
      <w:r>
        <w:rPr>
          <w:rFonts w:ascii="TimesNewRomanPSMT" w:hAnsi="TimesNewRomanPSMT" w:cs="TimesNewRomanPSMT"/>
          <w:sz w:val="22"/>
          <w:szCs w:val="22"/>
        </w:rPr>
        <w:t xml:space="preserve"> (Princeton, NJ: Princeton University Press, 1960).</w:t>
      </w:r>
    </w:p>
    <w:p w:rsidR="00000000" w:rsidRDefault="00717844">
      <w:pPr>
        <w:pStyle w:val="DefaultStyle"/>
        <w:widowControl w:val="0"/>
        <w:tabs>
          <w:tab w:val="left" w:pos="360"/>
        </w:tabs>
        <w:rPr>
          <w:sz w:val="12"/>
          <w:szCs w:val="12"/>
        </w:rPr>
      </w:pPr>
    </w:p>
    <w:p w:rsidR="00000000" w:rsidRDefault="00717844">
      <w:pPr>
        <w:pStyle w:val="DefaultStyle"/>
        <w:widowControl w:val="0"/>
      </w:pPr>
      <w:r>
        <w:rPr>
          <w:rFonts w:ascii="TimesNewRomanPS-BoldMT" w:hAnsi="TimesNewRomanPS-BoldMT" w:cs="TimesNewRomanPS-BoldMT"/>
          <w:b/>
          <w:bCs/>
        </w:rPr>
        <w:t>Announcements:</w:t>
      </w:r>
    </w:p>
    <w:p w:rsidR="00000000" w:rsidRDefault="00717844">
      <w:pPr>
        <w:pStyle w:val="DefaultStyle"/>
        <w:widowControl w:val="0"/>
        <w:tabs>
          <w:tab w:val="left" w:pos="270"/>
        </w:tabs>
      </w:pPr>
      <w:r>
        <w:rPr>
          <w:sz w:val="22"/>
          <w:szCs w:val="22"/>
        </w:rPr>
        <w:t>Twin Cities Civil War Round Table</w:t>
      </w:r>
      <w:r>
        <w:rPr>
          <w:sz w:val="22"/>
          <w:szCs w:val="22"/>
        </w:rPr>
        <w:t> </w:t>
      </w:r>
      <w:r>
        <w:rPr>
          <w:sz w:val="22"/>
          <w:szCs w:val="22"/>
        </w:rPr>
        <w:t xml:space="preserve"> -</w:t>
      </w:r>
      <w:r>
        <w:rPr>
          <w:sz w:val="22"/>
          <w:szCs w:val="22"/>
        </w:rPr>
        <w:t> </w:t>
      </w:r>
      <w:r>
        <w:rPr>
          <w:sz w:val="22"/>
          <w:szCs w:val="22"/>
        </w:rPr>
        <w:t xml:space="preserve"> </w:t>
      </w:r>
    </w:p>
    <w:p w:rsidR="00000000" w:rsidRDefault="00717844">
      <w:pPr>
        <w:pStyle w:val="DefaultStyle"/>
        <w:widowControl w:val="0"/>
        <w:tabs>
          <w:tab w:val="left" w:pos="270"/>
        </w:tabs>
      </w:pPr>
      <w:r>
        <w:rPr>
          <w:sz w:val="22"/>
          <w:szCs w:val="22"/>
        </w:rPr>
        <w:t xml:space="preserve">May 17, 2016 – </w:t>
      </w:r>
      <w:r>
        <w:rPr>
          <w:rFonts w:ascii="TimesNewRomanPS-ItalicMT" w:hAnsi="TimesNewRomanPS-ItalicMT" w:cs="TimesNewRomanPS-ItalicMT"/>
          <w:i/>
          <w:iCs/>
          <w:sz w:val="22"/>
          <w:szCs w:val="22"/>
        </w:rPr>
        <w:t>Lee’s Dilemma</w:t>
      </w:r>
      <w:r>
        <w:rPr>
          <w:rFonts w:ascii="TimesNewRomanPS-ItalicMT" w:hAnsi="TimesNewRomanPS-ItalicMT" w:cs="TimesNewRomanPS-ItalicMT"/>
          <w:sz w:val="22"/>
          <w:szCs w:val="22"/>
        </w:rPr>
        <w:t xml:space="preserve"> </w:t>
      </w:r>
      <w:r>
        <w:rPr>
          <w:sz w:val="22"/>
          <w:szCs w:val="22"/>
        </w:rPr>
        <w:t xml:space="preserve">- </w:t>
      </w:r>
      <w:hyperlink r:id="rId7" w:history="1">
        <w:r>
          <w:rPr>
            <w:rStyle w:val="Hyperlink"/>
            <w:color w:val="0050B1"/>
            <w:sz w:val="22"/>
            <w:szCs w:val="22"/>
          </w:rPr>
          <w:t>www.tccwrt.com</w:t>
        </w:r>
      </w:hyperlink>
      <w:r>
        <w:rPr>
          <w:sz w:val="22"/>
          <w:szCs w:val="22"/>
        </w:rPr>
        <w:t xml:space="preserve"> -</w:t>
      </w:r>
      <w:r>
        <w:rPr>
          <w:sz w:val="22"/>
          <w:szCs w:val="22"/>
        </w:rPr>
        <w:t> </w:t>
      </w:r>
      <w:r>
        <w:rPr>
          <w:sz w:val="22"/>
          <w:szCs w:val="22"/>
        </w:rPr>
        <w:t xml:space="preserve">info@tccwrt.com  </w:t>
      </w:r>
    </w:p>
    <w:p w:rsidR="00000000" w:rsidRDefault="00717844">
      <w:pPr>
        <w:pStyle w:val="DefaultStyle"/>
        <w:widowControl w:val="0"/>
        <w:tabs>
          <w:tab w:val="left" w:pos="270"/>
        </w:tabs>
      </w:pPr>
      <w:r>
        <w:rPr>
          <w:sz w:val="22"/>
          <w:szCs w:val="22"/>
        </w:rPr>
        <w:t>St Croix Valley Civil War Round Table</w:t>
      </w:r>
      <w:r>
        <w:rPr>
          <w:sz w:val="22"/>
          <w:szCs w:val="22"/>
        </w:rPr>
        <w:t> </w:t>
      </w:r>
      <w:r>
        <w:rPr>
          <w:sz w:val="22"/>
          <w:szCs w:val="22"/>
        </w:rPr>
        <w:t xml:space="preserve"> - May</w:t>
      </w:r>
      <w:r>
        <w:rPr>
          <w:sz w:val="22"/>
          <w:szCs w:val="22"/>
        </w:rPr>
        <w:t xml:space="preserve"> 23, 2016 –</w:t>
      </w:r>
      <w:r>
        <w:rPr>
          <w:sz w:val="22"/>
          <w:szCs w:val="22"/>
        </w:rPr>
        <w:t> </w:t>
      </w:r>
      <w:r>
        <w:rPr>
          <w:rFonts w:ascii="TimesNewRomanPS-ItalicMT" w:hAnsi="TimesNewRomanPS-ItalicMT" w:cs="TimesNewRomanPS-ItalicMT"/>
          <w:i/>
          <w:iCs/>
          <w:sz w:val="22"/>
          <w:szCs w:val="22"/>
        </w:rPr>
        <w:t>Benj. White &amp; 1st Wisc.</w:t>
      </w:r>
      <w:r>
        <w:rPr>
          <w:sz w:val="22"/>
          <w:szCs w:val="22"/>
        </w:rPr>
        <w:t xml:space="preserve"> - 715-386-1268 – </w:t>
      </w:r>
      <w:hyperlink r:id="rId8" w:history="1">
        <w:r>
          <w:rPr>
            <w:rStyle w:val="Hyperlink"/>
            <w:sz w:val="22"/>
            <w:szCs w:val="22"/>
          </w:rPr>
          <w:t>rossandhaines@comcast.net</w:t>
        </w:r>
      </w:hyperlink>
      <w:r>
        <w:rPr>
          <w:sz w:val="22"/>
          <w:szCs w:val="22"/>
        </w:rPr>
        <w:t xml:space="preserve"> </w:t>
      </w:r>
    </w:p>
    <w:p w:rsidR="00000000" w:rsidRDefault="00717844">
      <w:pPr>
        <w:pStyle w:val="DefaultStyle"/>
        <w:tabs>
          <w:tab w:val="left" w:pos="270"/>
        </w:tabs>
        <w:rPr>
          <w:sz w:val="20"/>
          <w:szCs w:val="20"/>
        </w:rPr>
      </w:pPr>
      <w:r>
        <w:rPr>
          <w:sz w:val="20"/>
          <w:szCs w:val="20"/>
        </w:rPr>
        <w:t>Cannon Valley CWRT - May 19 - CW Stories from Ft. Snelling Nat Cemetery</w:t>
      </w:r>
    </w:p>
    <w:p w:rsidR="00000000" w:rsidRDefault="00717844">
      <w:pPr>
        <w:pStyle w:val="DefaultStyle"/>
        <w:tabs>
          <w:tab w:val="left" w:pos="270"/>
        </w:tabs>
        <w:rPr>
          <w:sz w:val="22"/>
          <w:szCs w:val="22"/>
        </w:rPr>
      </w:pPr>
      <w:r>
        <w:rPr>
          <w:sz w:val="20"/>
          <w:szCs w:val="20"/>
        </w:rPr>
        <w:t>Minnesota Military Museum, Camp Ripley, 15000 Hwy 115, Li</w:t>
      </w:r>
      <w:r>
        <w:rPr>
          <w:sz w:val="20"/>
          <w:szCs w:val="20"/>
        </w:rPr>
        <w:t xml:space="preserve">ttle Falls, MN 56345, 320-616-6050, </w:t>
      </w:r>
      <w:hyperlink r:id="rId9" w:history="1">
        <w:r>
          <w:rPr>
            <w:rStyle w:val="Hyperlink"/>
            <w:sz w:val="20"/>
            <w:szCs w:val="20"/>
          </w:rPr>
          <w:t>http://www.mnmilitarymuseum.org/</w:t>
        </w:r>
      </w:hyperlink>
      <w:r>
        <w:rPr>
          <w:sz w:val="20"/>
          <w:szCs w:val="20"/>
        </w:rPr>
        <w:t xml:space="preserve"> </w:t>
      </w:r>
    </w:p>
    <w:p w:rsidR="00000000" w:rsidRDefault="00717844">
      <w:pPr>
        <w:pStyle w:val="DefaultStyle"/>
        <w:tabs>
          <w:tab w:val="left" w:pos="270"/>
          <w:tab w:val="left" w:pos="1800"/>
        </w:tabs>
        <w:rPr>
          <w:sz w:val="22"/>
          <w:szCs w:val="22"/>
        </w:rPr>
      </w:pPr>
      <w:r>
        <w:rPr>
          <w:sz w:val="20"/>
          <w:szCs w:val="20"/>
        </w:rPr>
        <w:lastRenderedPageBreak/>
        <w:t>Honor Flight</w:t>
      </w:r>
      <w:r>
        <w:rPr>
          <w:sz w:val="20"/>
          <w:szCs w:val="20"/>
        </w:rPr>
        <w:t> </w:t>
      </w:r>
      <w:r>
        <w:rPr>
          <w:sz w:val="20"/>
          <w:szCs w:val="20"/>
        </w:rPr>
        <w:t xml:space="preserve"> -</w:t>
      </w:r>
      <w:r>
        <w:rPr>
          <w:sz w:val="20"/>
          <w:szCs w:val="20"/>
        </w:rPr>
        <w:t> </w:t>
      </w:r>
      <w:r>
        <w:rPr>
          <w:sz w:val="20"/>
          <w:szCs w:val="20"/>
        </w:rPr>
        <w:t xml:space="preserve"> Jerry Kyser</w:t>
      </w:r>
      <w:r>
        <w:rPr>
          <w:sz w:val="20"/>
          <w:szCs w:val="20"/>
        </w:rPr>
        <w:t> </w:t>
      </w:r>
      <w:r>
        <w:rPr>
          <w:sz w:val="20"/>
          <w:szCs w:val="20"/>
        </w:rPr>
        <w:t xml:space="preserve"> -</w:t>
      </w:r>
      <w:r>
        <w:rPr>
          <w:sz w:val="20"/>
          <w:szCs w:val="20"/>
        </w:rPr>
        <w:t> </w:t>
      </w:r>
      <w:r>
        <w:rPr>
          <w:sz w:val="20"/>
          <w:szCs w:val="20"/>
        </w:rPr>
        <w:t xml:space="preserve"> </w:t>
      </w:r>
      <w:hyperlink r:id="rId10" w:history="1">
        <w:r>
          <w:rPr>
            <w:rStyle w:val="Hyperlink"/>
            <w:color w:val="0050B1"/>
            <w:sz w:val="20"/>
            <w:szCs w:val="20"/>
          </w:rPr>
          <w:t>crazyjerry45@hotmail</w:t>
        </w:r>
      </w:hyperlink>
      <w:r>
        <w:rPr>
          <w:sz w:val="20"/>
          <w:szCs w:val="20"/>
        </w:rPr>
        <w:t> </w:t>
      </w:r>
      <w:r>
        <w:rPr>
          <w:sz w:val="20"/>
          <w:szCs w:val="20"/>
        </w:rPr>
        <w:t xml:space="preserve"> -</w:t>
      </w:r>
      <w:r>
        <w:rPr>
          <w:sz w:val="20"/>
          <w:szCs w:val="20"/>
        </w:rPr>
        <w:t> </w:t>
      </w:r>
      <w:r>
        <w:rPr>
          <w:sz w:val="20"/>
          <w:szCs w:val="20"/>
        </w:rPr>
        <w:t xml:space="preserve"> 651-338-2717</w:t>
      </w:r>
    </w:p>
    <w:p w:rsidR="00000000" w:rsidRDefault="00717844">
      <w:pPr>
        <w:pStyle w:val="DefaultStyle"/>
        <w:widowControl w:val="0"/>
        <w:tabs>
          <w:tab w:val="left" w:pos="270"/>
        </w:tabs>
        <w:rPr>
          <w:sz w:val="22"/>
          <w:szCs w:val="22"/>
        </w:rPr>
      </w:pPr>
      <w:r>
        <w:rPr>
          <w:sz w:val="20"/>
          <w:szCs w:val="20"/>
        </w:rPr>
        <w:t>CAF</w:t>
      </w:r>
      <w:r>
        <w:rPr>
          <w:sz w:val="20"/>
          <w:szCs w:val="20"/>
        </w:rPr>
        <w:t> </w:t>
      </w:r>
      <w:r>
        <w:rPr>
          <w:sz w:val="20"/>
          <w:szCs w:val="20"/>
        </w:rPr>
        <w:t xml:space="preserve"> -</w:t>
      </w:r>
      <w:r>
        <w:rPr>
          <w:sz w:val="20"/>
          <w:szCs w:val="20"/>
        </w:rPr>
        <w:t> </w:t>
      </w:r>
      <w:r>
        <w:rPr>
          <w:sz w:val="20"/>
          <w:szCs w:val="20"/>
        </w:rPr>
        <w:t xml:space="preserve"> Commemorative Air Force</w:t>
      </w:r>
      <w:r>
        <w:rPr>
          <w:sz w:val="20"/>
          <w:szCs w:val="20"/>
        </w:rPr>
        <w:t> </w:t>
      </w:r>
      <w:r>
        <w:rPr>
          <w:sz w:val="20"/>
          <w:szCs w:val="20"/>
        </w:rPr>
        <w:t xml:space="preserve"> -</w:t>
      </w:r>
      <w:r>
        <w:rPr>
          <w:sz w:val="20"/>
          <w:szCs w:val="20"/>
        </w:rPr>
        <w:t> </w:t>
      </w:r>
      <w:r>
        <w:rPr>
          <w:sz w:val="20"/>
          <w:szCs w:val="20"/>
        </w:rPr>
        <w:t xml:space="preserve"> </w:t>
      </w:r>
      <w:hyperlink r:id="rId11" w:history="1">
        <w:r>
          <w:rPr>
            <w:rStyle w:val="Hyperlink"/>
            <w:color w:val="0050B1"/>
            <w:sz w:val="20"/>
            <w:szCs w:val="20"/>
          </w:rPr>
          <w:t>www.cafmn.org</w:t>
        </w:r>
      </w:hyperlink>
      <w:r>
        <w:rPr>
          <w:sz w:val="20"/>
          <w:szCs w:val="20"/>
        </w:rPr>
        <w:t> </w:t>
      </w:r>
      <w:r>
        <w:rPr>
          <w:sz w:val="20"/>
          <w:szCs w:val="20"/>
        </w:rPr>
        <w:t>651-455-6942</w:t>
      </w:r>
    </w:p>
    <w:p w:rsidR="00000000" w:rsidRDefault="00717844">
      <w:pPr>
        <w:pStyle w:val="DefaultStyle"/>
        <w:widowControl w:val="0"/>
        <w:tabs>
          <w:tab w:val="left" w:pos="270"/>
        </w:tabs>
        <w:rPr>
          <w:sz w:val="22"/>
          <w:szCs w:val="22"/>
        </w:rPr>
      </w:pPr>
      <w:r>
        <w:rPr>
          <w:sz w:val="20"/>
          <w:szCs w:val="20"/>
        </w:rPr>
        <w:t>Minnesota Air Guard Museum</w:t>
      </w:r>
      <w:r>
        <w:rPr>
          <w:sz w:val="20"/>
          <w:szCs w:val="20"/>
        </w:rPr>
        <w:t> </w:t>
      </w:r>
      <w:r>
        <w:rPr>
          <w:sz w:val="20"/>
          <w:szCs w:val="20"/>
        </w:rPr>
        <w:t xml:space="preserve"> - </w:t>
      </w:r>
      <w:hyperlink r:id="rId12" w:history="1">
        <w:r>
          <w:rPr>
            <w:rStyle w:val="Hyperlink"/>
            <w:color w:val="0040A0"/>
            <w:sz w:val="20"/>
            <w:szCs w:val="20"/>
          </w:rPr>
          <w:t>www.mnangmuseum.org</w:t>
        </w:r>
      </w:hyperlink>
      <w:r>
        <w:rPr>
          <w:sz w:val="20"/>
          <w:szCs w:val="20"/>
        </w:rPr>
        <w:t> </w:t>
      </w:r>
      <w:r>
        <w:rPr>
          <w:sz w:val="20"/>
          <w:szCs w:val="20"/>
        </w:rPr>
        <w:t xml:space="preserve"> 612-713-2523</w:t>
      </w:r>
    </w:p>
    <w:p w:rsidR="00000000" w:rsidRDefault="00717844">
      <w:pPr>
        <w:pStyle w:val="DefaultStyle"/>
        <w:widowControl w:val="0"/>
        <w:tabs>
          <w:tab w:val="left" w:pos="270"/>
        </w:tabs>
        <w:rPr>
          <w:sz w:val="22"/>
          <w:szCs w:val="22"/>
        </w:rPr>
      </w:pPr>
      <w:r>
        <w:rPr>
          <w:sz w:val="20"/>
          <w:szCs w:val="20"/>
        </w:rPr>
        <w:t xml:space="preserve">Friends of Ft. Snelling, </w:t>
      </w:r>
      <w:hyperlink r:id="rId13" w:history="1">
        <w:r>
          <w:rPr>
            <w:rStyle w:val="Hyperlink"/>
            <w:sz w:val="20"/>
            <w:szCs w:val="20"/>
          </w:rPr>
          <w:t>www.fortsnelling.org</w:t>
        </w:r>
      </w:hyperlink>
    </w:p>
    <w:p w:rsidR="00000000" w:rsidRDefault="00717844">
      <w:pPr>
        <w:pStyle w:val="DefaultStyle"/>
        <w:tabs>
          <w:tab w:val="left" w:pos="270"/>
        </w:tabs>
        <w:rPr>
          <w:sz w:val="22"/>
          <w:szCs w:val="22"/>
        </w:rPr>
      </w:pPr>
      <w:r>
        <w:rPr>
          <w:sz w:val="20"/>
          <w:szCs w:val="20"/>
        </w:rPr>
        <w:t xml:space="preserve">Fagen Fighters WWII Museum, Granite Falls, MN, 320-564-6644, </w:t>
      </w:r>
      <w:hyperlink r:id="rId14" w:history="1">
        <w:r>
          <w:rPr>
            <w:rStyle w:val="Hyperlink"/>
            <w:sz w:val="16"/>
            <w:szCs w:val="16"/>
          </w:rPr>
          <w:t>http://www.fagenfighterswwiimuseum.org</w:t>
        </w:r>
      </w:hyperlink>
      <w:r>
        <w:rPr>
          <w:sz w:val="16"/>
          <w:szCs w:val="16"/>
        </w:rPr>
        <w:t>.</w:t>
      </w:r>
    </w:p>
    <w:p w:rsidR="00000000" w:rsidRDefault="00717844">
      <w:pPr>
        <w:pStyle w:val="DefaultStyle"/>
        <w:tabs>
          <w:tab w:val="left" w:pos="270"/>
        </w:tabs>
        <w:rPr>
          <w:sz w:val="22"/>
          <w:szCs w:val="22"/>
        </w:rPr>
      </w:pPr>
      <w:r>
        <w:rPr>
          <w:sz w:val="20"/>
          <w:szCs w:val="20"/>
        </w:rPr>
        <w:t xml:space="preserve">World Without Genocide, 651-695-7621, </w:t>
      </w:r>
      <w:hyperlink r:id="rId15" w:history="1">
        <w:r>
          <w:rPr>
            <w:rStyle w:val="Hyperlink"/>
            <w:sz w:val="20"/>
            <w:szCs w:val="20"/>
          </w:rPr>
          <w:t>http://www.worldwithoutgenocide.org/</w:t>
        </w:r>
      </w:hyperlink>
    </w:p>
    <w:p w:rsidR="00000000" w:rsidRDefault="00717844">
      <w:pPr>
        <w:pStyle w:val="DefaultStyle"/>
        <w:widowControl w:val="0"/>
        <w:rPr>
          <w:sz w:val="22"/>
          <w:szCs w:val="22"/>
        </w:rPr>
      </w:pPr>
      <w:r>
        <w:rPr>
          <w:sz w:val="20"/>
          <w:szCs w:val="20"/>
        </w:rPr>
        <w:t xml:space="preserve">Airshow </w:t>
      </w:r>
      <w:r>
        <w:rPr>
          <w:sz w:val="20"/>
          <w:szCs w:val="20"/>
        </w:rPr>
        <w:t> </w:t>
      </w:r>
      <w:r>
        <w:rPr>
          <w:sz w:val="20"/>
          <w:szCs w:val="20"/>
        </w:rPr>
        <w:t xml:space="preserve">- </w:t>
      </w:r>
      <w:r>
        <w:rPr>
          <w:sz w:val="20"/>
          <w:szCs w:val="20"/>
        </w:rPr>
        <w:t> </w:t>
      </w:r>
      <w:r>
        <w:rPr>
          <w:sz w:val="20"/>
          <w:szCs w:val="20"/>
        </w:rPr>
        <w:t xml:space="preserve">Eden Prairie </w:t>
      </w:r>
      <w:r>
        <w:rPr>
          <w:sz w:val="20"/>
          <w:szCs w:val="20"/>
        </w:rPr>
        <w:t> </w:t>
      </w:r>
      <w:r>
        <w:rPr>
          <w:sz w:val="20"/>
          <w:szCs w:val="20"/>
        </w:rPr>
        <w:t xml:space="preserve">- </w:t>
      </w:r>
      <w:r>
        <w:rPr>
          <w:sz w:val="20"/>
          <w:szCs w:val="20"/>
        </w:rPr>
        <w:t> </w:t>
      </w:r>
      <w:r>
        <w:rPr>
          <w:sz w:val="20"/>
          <w:szCs w:val="20"/>
        </w:rPr>
        <w:t>July 2016</w:t>
      </w:r>
    </w:p>
    <w:p w:rsidR="00000000" w:rsidRDefault="00717844">
      <w:pPr>
        <w:pStyle w:val="DefaultStyle"/>
        <w:widowControl w:val="0"/>
        <w:rPr>
          <w:sz w:val="20"/>
          <w:szCs w:val="20"/>
        </w:rPr>
      </w:pPr>
      <w:hyperlink r:id="rId16" w:history="1">
        <w:r>
          <w:rPr>
            <w:rStyle w:val="Hyperlink"/>
            <w:color w:val="386EFF"/>
            <w:sz w:val="20"/>
            <w:szCs w:val="20"/>
          </w:rPr>
          <w:t>www.wotn.org</w:t>
        </w:r>
      </w:hyperlink>
      <w:r>
        <w:rPr>
          <w:sz w:val="20"/>
          <w:szCs w:val="20"/>
        </w:rPr>
        <w:t> </w:t>
      </w:r>
      <w:r>
        <w:rPr>
          <w:sz w:val="20"/>
          <w:szCs w:val="20"/>
        </w:rPr>
        <w:t xml:space="preserve"> </w:t>
      </w:r>
      <w:r>
        <w:rPr>
          <w:sz w:val="20"/>
          <w:szCs w:val="20"/>
        </w:rPr>
        <w:t> </w:t>
      </w:r>
      <w:r>
        <w:rPr>
          <w:sz w:val="20"/>
          <w:szCs w:val="20"/>
        </w:rPr>
        <w:t xml:space="preserve"> </w:t>
      </w:r>
      <w:r>
        <w:rPr>
          <w:sz w:val="20"/>
          <w:szCs w:val="20"/>
        </w:rPr>
        <w:t> </w:t>
      </w:r>
      <w:r>
        <w:rPr>
          <w:sz w:val="20"/>
          <w:szCs w:val="20"/>
        </w:rPr>
        <w:t xml:space="preserve"> 952-746-6100</w:t>
      </w:r>
    </w:p>
    <w:p w:rsidR="00000000" w:rsidRDefault="00717844">
      <w:pPr>
        <w:pStyle w:val="DefaultStyle"/>
        <w:widowControl w:val="0"/>
        <w:rPr>
          <w:sz w:val="20"/>
          <w:szCs w:val="20"/>
        </w:rPr>
      </w:pPr>
      <w:r>
        <w:rPr>
          <w:sz w:val="20"/>
          <w:szCs w:val="20"/>
        </w:rPr>
        <w:t>Fort Snelling Civil War Weekend, Aug. 2016</w:t>
      </w:r>
    </w:p>
    <w:p w:rsidR="00000000" w:rsidRDefault="00717844">
      <w:pPr>
        <w:pStyle w:val="DefaultStyle"/>
        <w:widowControl w:val="0"/>
        <w:rPr>
          <w:sz w:val="20"/>
          <w:szCs w:val="20"/>
        </w:rPr>
      </w:pPr>
      <w:r>
        <w:rPr>
          <w:sz w:val="20"/>
          <w:szCs w:val="20"/>
        </w:rPr>
        <w:t>Military History Book Club, Har Mar Barnes &amp; Noble:  2</w:t>
      </w:r>
      <w:r>
        <w:rPr>
          <w:sz w:val="20"/>
          <w:szCs w:val="20"/>
        </w:rPr>
        <w:t xml:space="preserve">5 May Dobbs, </w:t>
      </w:r>
      <w:r>
        <w:rPr>
          <w:rFonts w:ascii="TimesNewRomanPS-ItalicMT" w:hAnsi="TimesNewRomanPS-ItalicMT" w:cs="TimesNewRomanPS-ItalicMT"/>
          <w:i/>
          <w:iCs/>
          <w:sz w:val="20"/>
          <w:szCs w:val="20"/>
        </w:rPr>
        <w:t xml:space="preserve">Six Months in 1945 </w:t>
      </w:r>
      <w:r>
        <w:rPr>
          <w:sz w:val="20"/>
          <w:szCs w:val="20"/>
        </w:rPr>
        <w:t xml:space="preserve">-  </w:t>
      </w:r>
      <w:hyperlink r:id="rId17" w:history="1">
        <w:r>
          <w:rPr>
            <w:rStyle w:val="Hyperlink"/>
            <w:color w:val="386EFF"/>
            <w:sz w:val="20"/>
            <w:szCs w:val="20"/>
            <w:u w:color="386EFF"/>
          </w:rPr>
          <w:t>sdaubenspeck52@gmail.com</w:t>
        </w:r>
      </w:hyperlink>
      <w:r>
        <w:rPr>
          <w:sz w:val="20"/>
          <w:szCs w:val="20"/>
        </w:rPr>
        <w:t> </w:t>
      </w:r>
    </w:p>
    <w:p w:rsidR="00000000" w:rsidRDefault="00717844">
      <w:pPr>
        <w:pStyle w:val="DefaultStyle"/>
        <w:widowControl w:val="0"/>
        <w:rPr>
          <w:rFonts w:ascii="Times-Roman" w:hAnsi="Times-Roman" w:cs="Times-Roman"/>
          <w:sz w:val="16"/>
          <w:szCs w:val="16"/>
        </w:rPr>
      </w:pPr>
    </w:p>
    <w:p w:rsidR="00000000" w:rsidRDefault="00717844">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We need volunteers to drive our veterans to and from meetings. Please contact Don Patton at cell 612-867-5144 or </w:t>
      </w:r>
      <w:hyperlink r:id="rId18" w:history="1">
        <w:r>
          <w:rPr>
            <w:rStyle w:val="Hyperlink"/>
            <w:rFonts w:ascii="TimesNewRomanPS-BoldMT" w:hAnsi="TimesNewRomanPS-BoldMT" w:cs="TimesNewRomanPS-BoldMT"/>
            <w:b/>
            <w:bCs/>
            <w:sz w:val="22"/>
            <w:szCs w:val="22"/>
          </w:rPr>
          <w:t>coldpatton@yahoo.com</w:t>
        </w:r>
      </w:hyperlink>
    </w:p>
    <w:p w:rsidR="00000000" w:rsidRDefault="00717844">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12"/>
          <w:szCs w:val="12"/>
        </w:rPr>
      </w:pPr>
    </w:p>
    <w:p w:rsidR="00000000" w:rsidRDefault="00717844">
      <w:pPr>
        <w:pStyle w:val="DefaultStyle"/>
        <w:tabs>
          <w:tab w:val="left" w:pos="270"/>
          <w:tab w:val="left" w:pos="930"/>
        </w:tabs>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Round Table Schedule 2016-2017</w:t>
      </w:r>
    </w:p>
    <w:p w:rsidR="00000000" w:rsidRDefault="00717844">
      <w:pPr>
        <w:widowControl w:val="0"/>
        <w:rPr>
          <w:rFonts w:ascii="TimesNewRomanPSMT" w:hAnsi="TimesNewRomanPSMT" w:cs="TimesNewRomanPSMT"/>
          <w:sz w:val="22"/>
          <w:szCs w:val="22"/>
        </w:rPr>
      </w:pPr>
      <w:r>
        <w:rPr>
          <w:rFonts w:ascii="TimesNewRomanPS-BoldMT" w:hAnsi="TimesNewRomanPS-BoldMT" w:cs="TimesNewRomanPS-BoldMT"/>
          <w:b/>
          <w:bCs/>
          <w:sz w:val="22"/>
          <w:szCs w:val="22"/>
        </w:rPr>
        <w:t>2016</w:t>
      </w:r>
    </w:p>
    <w:p w:rsidR="00000000" w:rsidRDefault="00717844">
      <w:pPr>
        <w:widowControl w:val="0"/>
        <w:rPr>
          <w:rFonts w:ascii="TimesNewRomanPSMT" w:hAnsi="TimesNewRomanPSMT" w:cs="TimesNewRomanPSMT"/>
          <w:sz w:val="22"/>
          <w:szCs w:val="22"/>
        </w:rPr>
      </w:pPr>
      <w:r>
        <w:rPr>
          <w:rFonts w:ascii="TimesNewRomanPSMT" w:hAnsi="TimesNewRomanPSMT" w:cs="TimesNewRomanPSMT"/>
          <w:sz w:val="22"/>
          <w:szCs w:val="22"/>
        </w:rPr>
        <w:t xml:space="preserve"> 8 Sept</w:t>
      </w:r>
      <w:r>
        <w:rPr>
          <w:rFonts w:ascii="TimesNewRomanPSMT" w:hAnsi="TimesNewRomanPSMT" w:cs="TimesNewRomanPSMT"/>
          <w:sz w:val="22"/>
          <w:szCs w:val="22"/>
        </w:rPr>
        <w:tab/>
        <w:t>From Holocaust to US Soldier</w:t>
      </w:r>
    </w:p>
    <w:p w:rsidR="00000000" w:rsidRDefault="00717844">
      <w:pPr>
        <w:widowControl w:val="0"/>
        <w:rPr>
          <w:sz w:val="20"/>
          <w:szCs w:val="20"/>
        </w:rPr>
      </w:pPr>
      <w:r>
        <w:rPr>
          <w:sz w:val="20"/>
          <w:szCs w:val="20"/>
        </w:rPr>
        <w:t>22 Sept</w:t>
      </w:r>
      <w:r>
        <w:rPr>
          <w:sz w:val="20"/>
          <w:szCs w:val="20"/>
        </w:rPr>
        <w:tab/>
        <w:t>1930s Pacific Diplomacy</w:t>
      </w:r>
    </w:p>
    <w:p w:rsidR="00000000" w:rsidRDefault="00717844">
      <w:pPr>
        <w:widowControl w:val="0"/>
        <w:rPr>
          <w:sz w:val="20"/>
          <w:szCs w:val="20"/>
        </w:rPr>
      </w:pPr>
      <w:r>
        <w:rPr>
          <w:sz w:val="20"/>
          <w:szCs w:val="20"/>
        </w:rPr>
        <w:t>12 Oct</w:t>
      </w:r>
      <w:r>
        <w:rPr>
          <w:sz w:val="20"/>
          <w:szCs w:val="20"/>
        </w:rPr>
        <w:tab/>
        <w:t>11th Airborne, PI to Occupation</w:t>
      </w:r>
    </w:p>
    <w:p w:rsidR="00000000" w:rsidRDefault="00717844">
      <w:pPr>
        <w:widowControl w:val="0"/>
        <w:rPr>
          <w:sz w:val="20"/>
          <w:szCs w:val="20"/>
        </w:rPr>
      </w:pPr>
      <w:r>
        <w:rPr>
          <w:sz w:val="20"/>
          <w:szCs w:val="20"/>
        </w:rPr>
        <w:t>27 Oct</w:t>
      </w:r>
      <w:r>
        <w:rPr>
          <w:sz w:val="20"/>
          <w:szCs w:val="20"/>
        </w:rPr>
        <w:tab/>
        <w:t>Germany in the 1930s</w:t>
      </w:r>
    </w:p>
    <w:p w:rsidR="00000000" w:rsidRDefault="00717844">
      <w:pPr>
        <w:widowControl w:val="0"/>
        <w:rPr>
          <w:sz w:val="20"/>
          <w:szCs w:val="20"/>
        </w:rPr>
      </w:pPr>
      <w:r>
        <w:rPr>
          <w:sz w:val="20"/>
          <w:szCs w:val="20"/>
        </w:rPr>
        <w:t>10 Nov</w:t>
      </w:r>
      <w:r>
        <w:rPr>
          <w:sz w:val="20"/>
          <w:szCs w:val="20"/>
        </w:rPr>
        <w:tab/>
        <w:t>Deutsch Lecture - Sentencing at Nuremburg</w:t>
      </w:r>
    </w:p>
    <w:p w:rsidR="00000000" w:rsidRDefault="00717844">
      <w:pPr>
        <w:widowControl w:val="0"/>
        <w:rPr>
          <w:sz w:val="20"/>
          <w:szCs w:val="20"/>
        </w:rPr>
      </w:pPr>
      <w:r>
        <w:rPr>
          <w:sz w:val="20"/>
          <w:szCs w:val="20"/>
        </w:rPr>
        <w:t xml:space="preserve"> 8 Dec</w:t>
      </w:r>
      <w:r>
        <w:rPr>
          <w:sz w:val="20"/>
          <w:szCs w:val="20"/>
        </w:rPr>
        <w:tab/>
        <w:t>Countdown to Pearl Harbor (75th Anniv)</w:t>
      </w:r>
    </w:p>
    <w:p w:rsidR="00000000" w:rsidRDefault="00717844">
      <w:pPr>
        <w:widowControl w:val="0"/>
        <w:rPr>
          <w:sz w:val="20"/>
          <w:szCs w:val="20"/>
        </w:rPr>
      </w:pPr>
      <w:r>
        <w:rPr>
          <w:rFonts w:ascii="Times-Bold" w:hAnsi="Times-Bold" w:cs="Times-Bold"/>
          <w:b/>
          <w:bCs/>
          <w:sz w:val="20"/>
          <w:szCs w:val="20"/>
        </w:rPr>
        <w:t>2017</w:t>
      </w:r>
    </w:p>
    <w:p w:rsidR="00000000" w:rsidRDefault="00717844">
      <w:pPr>
        <w:widowControl w:val="0"/>
        <w:rPr>
          <w:sz w:val="20"/>
          <w:szCs w:val="20"/>
        </w:rPr>
      </w:pPr>
      <w:r>
        <w:rPr>
          <w:sz w:val="20"/>
          <w:szCs w:val="20"/>
        </w:rPr>
        <w:t>12 Jan</w:t>
      </w:r>
      <w:r>
        <w:rPr>
          <w:sz w:val="20"/>
          <w:szCs w:val="20"/>
        </w:rPr>
        <w:tab/>
        <w:t>Battle of Koenigsburg</w:t>
      </w:r>
    </w:p>
    <w:p w:rsidR="00000000" w:rsidRDefault="00717844">
      <w:pPr>
        <w:widowControl w:val="0"/>
        <w:rPr>
          <w:sz w:val="20"/>
          <w:szCs w:val="20"/>
        </w:rPr>
      </w:pPr>
      <w:r>
        <w:rPr>
          <w:sz w:val="20"/>
          <w:szCs w:val="20"/>
        </w:rPr>
        <w:t xml:space="preserve"> 9 Feb</w:t>
      </w:r>
      <w:r>
        <w:rPr>
          <w:sz w:val="20"/>
          <w:szCs w:val="20"/>
        </w:rPr>
        <w:tab/>
        <w:t>Nazi Hunters</w:t>
      </w:r>
    </w:p>
    <w:p w:rsidR="00000000" w:rsidRDefault="00717844">
      <w:pPr>
        <w:widowControl w:val="0"/>
        <w:rPr>
          <w:sz w:val="20"/>
          <w:szCs w:val="20"/>
        </w:rPr>
      </w:pPr>
      <w:r>
        <w:rPr>
          <w:sz w:val="20"/>
          <w:szCs w:val="20"/>
        </w:rPr>
        <w:t xml:space="preserve"> 9 Mar</w:t>
      </w:r>
      <w:r>
        <w:rPr>
          <w:sz w:val="20"/>
          <w:szCs w:val="20"/>
        </w:rPr>
        <w:tab/>
        <w:t>Arsenal for War</w:t>
      </w:r>
    </w:p>
    <w:p w:rsidR="00000000" w:rsidRDefault="00717844">
      <w:pPr>
        <w:widowControl w:val="0"/>
        <w:rPr>
          <w:sz w:val="20"/>
          <w:szCs w:val="20"/>
        </w:rPr>
      </w:pPr>
      <w:r>
        <w:rPr>
          <w:sz w:val="20"/>
          <w:szCs w:val="20"/>
        </w:rPr>
        <w:t>23 Mar</w:t>
      </w:r>
      <w:r>
        <w:rPr>
          <w:sz w:val="20"/>
          <w:szCs w:val="20"/>
        </w:rPr>
        <w:tab/>
        <w:t>Gen. Lesley McNair</w:t>
      </w:r>
    </w:p>
    <w:p w:rsidR="00000000" w:rsidRDefault="00717844">
      <w:pPr>
        <w:widowControl w:val="0"/>
        <w:rPr>
          <w:sz w:val="20"/>
          <w:szCs w:val="20"/>
        </w:rPr>
      </w:pPr>
      <w:r>
        <w:rPr>
          <w:sz w:val="20"/>
          <w:szCs w:val="20"/>
        </w:rPr>
        <w:t>13 Apr</w:t>
      </w:r>
      <w:r>
        <w:rPr>
          <w:sz w:val="20"/>
          <w:szCs w:val="20"/>
        </w:rPr>
        <w:tab/>
        <w:t>Last Mission of the 93rd Bomb Group</w:t>
      </w:r>
    </w:p>
    <w:p w:rsidR="00000000" w:rsidRDefault="00717844">
      <w:pPr>
        <w:widowControl w:val="0"/>
        <w:rPr>
          <w:sz w:val="20"/>
          <w:szCs w:val="20"/>
        </w:rPr>
      </w:pPr>
      <w:r>
        <w:rPr>
          <w:sz w:val="20"/>
          <w:szCs w:val="20"/>
        </w:rPr>
        <w:t>11 May</w:t>
      </w:r>
      <w:r>
        <w:rPr>
          <w:sz w:val="20"/>
          <w:szCs w:val="20"/>
        </w:rPr>
        <w:tab/>
        <w:t>Corps Commanders of the Battle of the Bulge</w:t>
      </w:r>
    </w:p>
    <w:p w:rsidR="00000000" w:rsidRDefault="00086F06">
      <w:pPr>
        <w:widowControl w:val="0"/>
        <w:rPr>
          <w:sz w:val="20"/>
          <w:szCs w:val="20"/>
        </w:rPr>
      </w:pPr>
      <w:r>
        <w:rPr>
          <w:noProof/>
          <w:sz w:val="20"/>
          <w:szCs w:val="20"/>
        </w:rPr>
        <w:drawing>
          <wp:inline distT="0" distB="0" distL="0" distR="0">
            <wp:extent cx="1895475" cy="1600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895475" cy="1600200"/>
                    </a:xfrm>
                    <a:prstGeom prst="rect">
                      <a:avLst/>
                    </a:prstGeom>
                    <a:noFill/>
                    <a:ln w="9525">
                      <a:noFill/>
                      <a:miter lim="800000"/>
                      <a:headEnd/>
                      <a:tailEnd/>
                    </a:ln>
                  </pic:spPr>
                </pic:pic>
              </a:graphicData>
            </a:graphic>
          </wp:inline>
        </w:drawing>
      </w:r>
      <w:r>
        <w:rPr>
          <w:noProof/>
          <w:sz w:val="20"/>
          <w:szCs w:val="20"/>
        </w:rPr>
        <w:drawing>
          <wp:inline distT="0" distB="0" distL="0" distR="0">
            <wp:extent cx="790575" cy="1638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r="73111" b="22816"/>
                    <a:stretch>
                      <a:fillRect/>
                    </a:stretch>
                  </pic:blipFill>
                  <pic:spPr bwMode="auto">
                    <a:xfrm>
                      <a:off x="0" y="0"/>
                      <a:ext cx="790575" cy="1638300"/>
                    </a:xfrm>
                    <a:prstGeom prst="rect">
                      <a:avLst/>
                    </a:prstGeom>
                    <a:noFill/>
                    <a:ln w="9525">
                      <a:noFill/>
                      <a:miter lim="800000"/>
                      <a:headEnd/>
                      <a:tailEnd/>
                    </a:ln>
                  </pic:spPr>
                </pic:pic>
              </a:graphicData>
            </a:graphic>
          </wp:inline>
        </w:drawing>
      </w:r>
    </w:p>
    <w:p w:rsidR="00717844" w:rsidRDefault="00717844">
      <w:pPr>
        <w:widowControl w:val="0"/>
        <w:rPr>
          <w:sz w:val="20"/>
          <w:szCs w:val="20"/>
        </w:rPr>
      </w:pPr>
      <w:r>
        <w:rPr>
          <w:sz w:val="20"/>
          <w:szCs w:val="20"/>
        </w:rPr>
        <w:t>Stalin, Truman, and Churchill, Attlee, at Potsdam</w:t>
      </w:r>
    </w:p>
    <w:sectPr w:rsidR="00717844">
      <w:headerReference w:type="default" r:id="rId21"/>
      <w:footerReference w:type="default" r:id="rId22"/>
      <w:headerReference w:type="first" r:id="rId23"/>
      <w:footerReference w:type="first" r:id="rId24"/>
      <w:pgSz w:w="12240" w:h="1584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44" w:rsidRDefault="00717844">
      <w:r>
        <w:separator/>
      </w:r>
    </w:p>
  </w:endnote>
  <w:endnote w:type="continuationSeparator" w:id="0">
    <w:p w:rsidR="00717844" w:rsidRDefault="00717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7844">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717844">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717844">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7844">
    <w:pPr>
      <w:pStyle w:val="DefaultStyle"/>
      <w:tabs>
        <w:tab w:val="left" w:pos="270"/>
      </w:tabs>
      <w:spacing w:before="60" w:after="120"/>
    </w:pP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one</w:t>
    </w:r>
    <w:r>
      <w:rPr>
        <w:rFonts w:ascii="TimesNewRomanPS-BoldMT" w:hAnsi="TimesNewRomanPS-BoldMT" w:cs="TimesNewRomanPS-BoldMT"/>
        <w:b/>
        <w:bCs/>
      </w:rPr>
      <w:t xml:space="preserv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44" w:rsidRDefault="00717844">
      <w:r>
        <w:separator/>
      </w:r>
    </w:p>
  </w:footnote>
  <w:footnote w:type="continuationSeparator" w:id="0">
    <w:p w:rsidR="00717844" w:rsidRDefault="00717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7844">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12 May 2016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7844">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717844">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717844">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E0F3"/>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1">
    <w:nsid w:val="5CDA4CE4"/>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2">
    <w:nsid w:val="5E3C9AD9"/>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3">
    <w:nsid w:val="7FEE3C5B"/>
    <w:multiLevelType w:val="multilevel"/>
    <w:tmpl w:val="B5AC083E"/>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2A0"/>
    <w:rsid w:val="00086F06"/>
    <w:rsid w:val="001F02A0"/>
    <w:rsid w:val="00717844"/>
    <w:rsid w:val="0073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TableCell">
    <w:name w:val="Table Cell"/>
    <w:basedOn w:val="Normal"/>
    <w:uiPriority w:val="99"/>
    <w:pPr>
      <w:jc w:val="center"/>
    </w:pPr>
  </w:style>
  <w:style w:type="numbering" w:customStyle="1" w:styleId="BulletList">
    <w:name w:val="Bullet List"/>
    <w:pPr>
      <w:numPr>
        <w:numId w:val="1"/>
      </w:numPr>
    </w:pPr>
  </w:style>
  <w:style w:type="numbering" w:customStyle="1" w:styleId="NumberList">
    <w:name w:val="Number List"/>
    <w:pPr>
      <w:numPr>
        <w:numId w:val="2"/>
      </w:numPr>
    </w:pPr>
  </w:style>
  <w:style w:type="numbering" w:customStyle="1" w:styleId="Headings">
    <w:name w:val="Headings"/>
    <w:pPr>
      <w:numPr>
        <w:numId w:val="3"/>
      </w:numPr>
    </w:pPr>
  </w:style>
  <w:style w:type="numbering" w:customStyle="1" w:styleId="TieredList">
    <w:name w:val="Tiered List"/>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sandhaines@comcast.net" TargetMode="External"/><Relationship Id="rId13" Type="http://schemas.openxmlformats.org/officeDocument/2006/relationships/hyperlink" Target="http://www.fortsnelling.com" TargetMode="External"/><Relationship Id="rId18" Type="http://schemas.openxmlformats.org/officeDocument/2006/relationships/hyperlink" Target="mailto:coldpatton@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tccwrt.com/" TargetMode="External"/><Relationship Id="rId12" Type="http://schemas.openxmlformats.org/officeDocument/2006/relationships/hyperlink" Target="http://www.mnangmuseum.org/" TargetMode="External"/><Relationship Id="rId17" Type="http://schemas.openxmlformats.org/officeDocument/2006/relationships/hyperlink" Target="mailto:sdaubenspeck52@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tn.org/"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mn.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orldwithoutgenocide.org/" TargetMode="External"/><Relationship Id="rId23" Type="http://schemas.openxmlformats.org/officeDocument/2006/relationships/header" Target="header2.xml"/><Relationship Id="rId10" Type="http://schemas.openxmlformats.org/officeDocument/2006/relationships/hyperlink" Target="mailto:crazyjerry45@hotmai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nmilitarymuseum.org/" TargetMode="External"/><Relationship Id="rId14" Type="http://schemas.openxmlformats.org/officeDocument/2006/relationships/hyperlink" Target="http://www.fagenfighterswwiimuseum.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May 2009</vt:lpstr>
    </vt:vector>
  </TitlesOfParts>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Glenn Burgstahler</cp:lastModifiedBy>
  <cp:revision>2</cp:revision>
  <cp:lastPrinted>2015-10-12T19:05:00Z</cp:lastPrinted>
  <dcterms:created xsi:type="dcterms:W3CDTF">2016-05-10T01:32:00Z</dcterms:created>
  <dcterms:modified xsi:type="dcterms:W3CDTF">2016-05-10T01:32:00Z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
  </property>
  <property fmtid="{D5CDD505-2E9C-101B-9397-08002B2CF9AE}" pid="3" name="DocSecurity">
    <vt:lpwstr/>
  </property>
  <property fmtid="{D5CDD505-2E9C-101B-9397-08002B2CF9AE}" pid="4" name="AppVersion">
    <vt:lpwstr>14.0000</vt:lpwstr>
  </property>
  <property fmtid="{D5CDD505-2E9C-101B-9397-08002B2CF9AE}" pid="5" name="HyperlinksChanged">
    <vt:lpwstr/>
  </property>
  <property fmtid="{D5CDD505-2E9C-101B-9397-08002B2CF9AE}" pid="6" name="ShareDoc">
    <vt:lpwstr/>
  </property>
  <property fmtid="{D5CDD505-2E9C-101B-9397-08002B2CF9AE}" pid="7" name="LinksUpToDate">
    <vt:lpwstr/>
  </property>
  <property fmtid="{D5CDD505-2E9C-101B-9397-08002B2CF9AE}" pid="8" name="Company">
    <vt:lpwstr>University of St. Thomas</vt:lpwstr>
  </property>
</Properties>
</file>