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0A" w:rsidRPr="001C4690" w:rsidRDefault="0036450A" w:rsidP="001C4690">
      <w:pPr>
        <w:tabs>
          <w:tab w:val="left" w:pos="270"/>
          <w:tab w:val="left" w:pos="5400"/>
        </w:tabs>
      </w:pPr>
      <w:r w:rsidRPr="001C4690">
        <w:t xml:space="preserve">Thursday, </w:t>
      </w:r>
      <w:r w:rsidR="000731C1">
        <w:t>28</w:t>
      </w:r>
      <w:r w:rsidRPr="001C4690">
        <w:t xml:space="preserve"> </w:t>
      </w:r>
      <w:r w:rsidR="00945051">
        <w:t>March</w:t>
      </w:r>
      <w:r w:rsidR="004D47D1" w:rsidRPr="001C4690">
        <w:t xml:space="preserve"> 2013</w:t>
      </w:r>
    </w:p>
    <w:p w:rsidR="0036450A" w:rsidRPr="001C4690" w:rsidRDefault="0036450A" w:rsidP="001C4690">
      <w:pPr>
        <w:tabs>
          <w:tab w:val="left" w:pos="270"/>
          <w:tab w:val="left" w:pos="5400"/>
        </w:tabs>
      </w:pPr>
      <w:r w:rsidRPr="001C4690">
        <w:t>26:0</w:t>
      </w:r>
      <w:r w:rsidR="000731C1">
        <w:t>9</w:t>
      </w:r>
      <w:r w:rsidRPr="001C4690">
        <w:t xml:space="preserve">        </w:t>
      </w:r>
      <w:r w:rsidR="00C35211">
        <w:t xml:space="preserve">            Volume 21   Number </w:t>
      </w:r>
      <w:r w:rsidR="000731C1">
        <w:t>9</w:t>
      </w:r>
      <w:r w:rsidRPr="001C4690">
        <w:t xml:space="preserve"> </w:t>
      </w:r>
    </w:p>
    <w:p w:rsidR="0036450A" w:rsidRPr="001C4690" w:rsidRDefault="0036450A" w:rsidP="001C4690">
      <w:pPr>
        <w:tabs>
          <w:tab w:val="left" w:pos="270"/>
        </w:tabs>
      </w:pPr>
      <w:r w:rsidRPr="001C4690">
        <w:t>Published by WW II History Round Table</w:t>
      </w:r>
    </w:p>
    <w:p w:rsidR="0036450A" w:rsidRPr="001C4690" w:rsidRDefault="0036450A" w:rsidP="001C4690">
      <w:pPr>
        <w:pBdr>
          <w:bottom w:val="single" w:sz="8" w:space="1" w:color="000000"/>
        </w:pBdr>
        <w:tabs>
          <w:tab w:val="left" w:pos="270"/>
        </w:tabs>
      </w:pPr>
      <w:r w:rsidRPr="001C4690">
        <w:t xml:space="preserve">Edited by Dr. </w:t>
      </w:r>
      <w:r w:rsidR="000731C1">
        <w:t>Connie Harris</w:t>
      </w:r>
      <w:r w:rsidRPr="001C4690">
        <w:t xml:space="preserve"> </w:t>
      </w:r>
    </w:p>
    <w:p w:rsidR="0036450A" w:rsidRPr="001C4690" w:rsidRDefault="0036450A" w:rsidP="001C4690">
      <w:pPr>
        <w:pBdr>
          <w:bottom w:val="single" w:sz="8" w:space="1" w:color="000000"/>
        </w:pBdr>
        <w:tabs>
          <w:tab w:val="left" w:pos="270"/>
        </w:tabs>
      </w:pPr>
      <w:r w:rsidRPr="001C4690">
        <w:t>www.mn-ww2roundtable.org</w:t>
      </w:r>
    </w:p>
    <w:p w:rsidR="00FF2471" w:rsidRPr="00FF2471" w:rsidRDefault="00FF2471" w:rsidP="00FF2471">
      <w:pPr>
        <w:tabs>
          <w:tab w:val="left" w:pos="270"/>
        </w:tabs>
        <w:rPr>
          <w:sz w:val="20"/>
          <w:szCs w:val="20"/>
        </w:rPr>
      </w:pPr>
    </w:p>
    <w:p w:rsidR="00C424AE" w:rsidRPr="000731C1" w:rsidRDefault="0036450A" w:rsidP="001C4690">
      <w:pPr>
        <w:tabs>
          <w:tab w:val="left" w:pos="270"/>
        </w:tabs>
        <w:rPr>
          <w:sz w:val="28"/>
          <w:szCs w:val="28"/>
        </w:rPr>
      </w:pPr>
      <w:r w:rsidRPr="00FF2471">
        <w:rPr>
          <w:b/>
          <w:sz w:val="28"/>
          <w:szCs w:val="28"/>
        </w:rPr>
        <w:t xml:space="preserve">Welcome to the </w:t>
      </w:r>
      <w:r w:rsidR="000731C1">
        <w:rPr>
          <w:b/>
          <w:sz w:val="28"/>
          <w:szCs w:val="28"/>
        </w:rPr>
        <w:t>second</w:t>
      </w:r>
      <w:r w:rsidR="00945051">
        <w:rPr>
          <w:b/>
          <w:sz w:val="28"/>
          <w:szCs w:val="28"/>
        </w:rPr>
        <w:t xml:space="preserve"> March</w:t>
      </w:r>
      <w:r w:rsidRPr="00FF2471">
        <w:rPr>
          <w:b/>
          <w:sz w:val="28"/>
          <w:szCs w:val="28"/>
        </w:rPr>
        <w:t xml:space="preserve"> meeting of the Dr. Harold C. Deutsch World War II History Round Table.</w:t>
      </w:r>
      <w:r w:rsidRPr="00FF2471">
        <w:rPr>
          <w:sz w:val="28"/>
          <w:szCs w:val="28"/>
        </w:rPr>
        <w:t xml:space="preserve"> </w:t>
      </w:r>
      <w:r w:rsidR="000731C1" w:rsidRPr="000731C1">
        <w:rPr>
          <w:sz w:val="28"/>
          <w:szCs w:val="28"/>
        </w:rPr>
        <w:t xml:space="preserve">Tonight’s speaker is Francis Nicosia, Professor of History and Raul Hilberg Distinguished Professor of Holocaust Studies at the University of Vermont. The author of the upcoming book </w:t>
      </w:r>
      <w:r w:rsidR="000731C1" w:rsidRPr="000731C1">
        <w:rPr>
          <w:i/>
          <w:sz w:val="28"/>
          <w:szCs w:val="28"/>
        </w:rPr>
        <w:t>Hitler’s Germany and the Middle East</w:t>
      </w:r>
      <w:r w:rsidR="000731C1" w:rsidRPr="000731C1">
        <w:rPr>
          <w:sz w:val="28"/>
          <w:szCs w:val="28"/>
        </w:rPr>
        <w:t>, he will talk about German objectives in the Middle East and Allied Operations in the region</w:t>
      </w:r>
      <w:r w:rsidR="00D51B15" w:rsidRPr="000731C1">
        <w:rPr>
          <w:sz w:val="28"/>
          <w:szCs w:val="28"/>
        </w:rPr>
        <w:t>.</w:t>
      </w:r>
    </w:p>
    <w:p w:rsidR="00FF2471" w:rsidRPr="000731C1" w:rsidRDefault="00FF2471" w:rsidP="00FF2471">
      <w:pPr>
        <w:tabs>
          <w:tab w:val="left" w:pos="270"/>
        </w:tabs>
        <w:rPr>
          <w:sz w:val="28"/>
          <w:szCs w:val="28"/>
        </w:rPr>
      </w:pPr>
    </w:p>
    <w:p w:rsidR="001C4690" w:rsidRPr="000731C1" w:rsidRDefault="001C4690" w:rsidP="001C4690">
      <w:pPr>
        <w:tabs>
          <w:tab w:val="left" w:pos="270"/>
        </w:tabs>
        <w:rPr>
          <w:sz w:val="28"/>
          <w:szCs w:val="28"/>
        </w:rPr>
      </w:pPr>
      <w:r w:rsidRPr="000731C1">
        <w:rPr>
          <w:sz w:val="28"/>
          <w:szCs w:val="28"/>
        </w:rPr>
        <w:tab/>
      </w:r>
      <w:r w:rsidR="000731C1" w:rsidRPr="000731C1">
        <w:rPr>
          <w:sz w:val="28"/>
          <w:szCs w:val="28"/>
        </w:rPr>
        <w:t xml:space="preserve">The problems of the Middle East in the Twentieth (or Twenty-first) century began turmoil of World War I. </w:t>
      </w:r>
      <w:r w:rsidR="001E5D8E">
        <w:rPr>
          <w:sz w:val="28"/>
          <w:szCs w:val="28"/>
        </w:rPr>
        <w:t xml:space="preserve">(The Paris Peace Conference bequeathed to the world many problems – including Vietnam.) </w:t>
      </w:r>
      <w:r w:rsidR="000731C1" w:rsidRPr="000731C1">
        <w:rPr>
          <w:sz w:val="28"/>
          <w:szCs w:val="28"/>
        </w:rPr>
        <w:t>Shortly before the war ended, British Foreign Secretary Arthur Balfour wrote a letter to the Baron Rothschild advocating a Jewish Homeland in Palestine. This letter, also published in British newspapers, was written into the Treaty of Sèvres between the Ottoman Empire, which encompassed most of today’s Middle East, and the Allies. The Great Powers set up a Mandate system for former holdings of the defeated powers that they deemed not quite ready for full statehood. Turkey became a state in its own right, but the rest of the Empire was divided between the British and the French. The French took control in Lebanon and Syria, and the British in Palestine, Transjordan, and Iraq. Not consulted about the fates of their regions, the native people and, especially, their leaders resented being ruled by another Empire</w:t>
      </w:r>
      <w:r w:rsidR="00945051" w:rsidRPr="000731C1">
        <w:rPr>
          <w:sz w:val="28"/>
          <w:szCs w:val="28"/>
        </w:rPr>
        <w:t xml:space="preserve">. </w:t>
      </w:r>
      <w:r w:rsidRPr="000731C1">
        <w:rPr>
          <w:sz w:val="28"/>
          <w:szCs w:val="28"/>
        </w:rPr>
        <w:t xml:space="preserve"> </w:t>
      </w:r>
    </w:p>
    <w:p w:rsidR="00073ADD" w:rsidRPr="000731C1" w:rsidRDefault="00073ADD" w:rsidP="00073ADD">
      <w:pPr>
        <w:tabs>
          <w:tab w:val="left" w:pos="270"/>
        </w:tabs>
        <w:rPr>
          <w:sz w:val="28"/>
          <w:szCs w:val="28"/>
        </w:rPr>
      </w:pPr>
    </w:p>
    <w:p w:rsidR="00073ADD" w:rsidRPr="000731C1" w:rsidRDefault="001C4690" w:rsidP="00073ADD">
      <w:pPr>
        <w:tabs>
          <w:tab w:val="left" w:pos="270"/>
        </w:tabs>
        <w:rPr>
          <w:sz w:val="28"/>
          <w:szCs w:val="28"/>
        </w:rPr>
      </w:pPr>
      <w:r w:rsidRPr="000731C1">
        <w:rPr>
          <w:sz w:val="28"/>
          <w:szCs w:val="28"/>
        </w:rPr>
        <w:tab/>
      </w:r>
      <w:r w:rsidR="000731C1" w:rsidRPr="000731C1">
        <w:rPr>
          <w:sz w:val="28"/>
          <w:szCs w:val="28"/>
        </w:rPr>
        <w:t>Before World War II, the Nazi Regime had little interest in the Middle East, even though the Mediterranean Sea and its p</w:t>
      </w:r>
      <w:r w:rsidR="000731C1">
        <w:rPr>
          <w:sz w:val="28"/>
          <w:szCs w:val="28"/>
        </w:rPr>
        <w:t>ortals – the Straits of Gibralta</w:t>
      </w:r>
      <w:r w:rsidR="000731C1" w:rsidRPr="000731C1">
        <w:rPr>
          <w:sz w:val="28"/>
          <w:szCs w:val="28"/>
        </w:rPr>
        <w:t xml:space="preserve">r and the Suez Canal, were the key to </w:t>
      </w:r>
      <w:r w:rsidR="001E5D8E">
        <w:rPr>
          <w:sz w:val="28"/>
          <w:szCs w:val="28"/>
        </w:rPr>
        <w:t>Britain’s</w:t>
      </w:r>
      <w:r w:rsidR="000731C1" w:rsidRPr="000731C1">
        <w:rPr>
          <w:sz w:val="28"/>
          <w:szCs w:val="28"/>
        </w:rPr>
        <w:t xml:space="preserve"> Indian Empire and Far Eastern colonies. </w:t>
      </w:r>
      <w:r w:rsidR="000731C1" w:rsidRPr="000731C1">
        <w:rPr>
          <w:sz w:val="28"/>
          <w:szCs w:val="28"/>
        </w:rPr>
        <w:lastRenderedPageBreak/>
        <w:t>Once war began, the Nazis realized that these critical transportation routes were vulnerable to attack, and that breaking them would yield immense harm to the British war effort</w:t>
      </w:r>
      <w:r w:rsidR="00945051" w:rsidRPr="000731C1">
        <w:rPr>
          <w:sz w:val="28"/>
          <w:szCs w:val="28"/>
        </w:rPr>
        <w:t>.</w:t>
      </w:r>
      <w:r w:rsidRPr="000731C1">
        <w:rPr>
          <w:sz w:val="28"/>
          <w:szCs w:val="28"/>
        </w:rPr>
        <w:br/>
      </w:r>
    </w:p>
    <w:p w:rsidR="001E5D8E" w:rsidRDefault="00052467" w:rsidP="00052467">
      <w:pPr>
        <w:tabs>
          <w:tab w:val="left" w:pos="270"/>
        </w:tabs>
        <w:rPr>
          <w:sz w:val="28"/>
          <w:szCs w:val="28"/>
        </w:rPr>
      </w:pPr>
      <w:r w:rsidRPr="000731C1">
        <w:rPr>
          <w:sz w:val="28"/>
          <w:szCs w:val="28"/>
        </w:rPr>
        <w:tab/>
      </w:r>
      <w:r w:rsidR="000731C1" w:rsidRPr="000731C1">
        <w:rPr>
          <w:sz w:val="28"/>
          <w:szCs w:val="28"/>
        </w:rPr>
        <w:t>The Nazi’s greatest ally in the region was the Grand Mufti of Jerusalem, Haj Amin al-Husseini, who fought the British and persecuted the Jewish population o</w:t>
      </w:r>
      <w:r w:rsidR="001E5D8E">
        <w:rPr>
          <w:sz w:val="28"/>
          <w:szCs w:val="28"/>
        </w:rPr>
        <w:t>f Palestine throughout the 1920</w:t>
      </w:r>
      <w:r w:rsidR="000731C1" w:rsidRPr="000731C1">
        <w:rPr>
          <w:sz w:val="28"/>
          <w:szCs w:val="28"/>
        </w:rPr>
        <w:t xml:space="preserve">s and </w:t>
      </w:r>
      <w:r w:rsidR="001E5D8E">
        <w:rPr>
          <w:sz w:val="28"/>
          <w:szCs w:val="28"/>
        </w:rPr>
        <w:t>1930s</w:t>
      </w:r>
      <w:r w:rsidR="000731C1" w:rsidRPr="000731C1">
        <w:rPr>
          <w:sz w:val="28"/>
          <w:szCs w:val="28"/>
        </w:rPr>
        <w:t xml:space="preserve">. He was exiled from Palestine for his role in the 1936-1939 revolt against the British. He first fled to Lebanon and then to Iraq, </w:t>
      </w:r>
      <w:r w:rsidR="001E5D8E">
        <w:rPr>
          <w:sz w:val="28"/>
          <w:szCs w:val="28"/>
        </w:rPr>
        <w:t>before</w:t>
      </w:r>
      <w:r w:rsidR="000731C1" w:rsidRPr="000731C1">
        <w:rPr>
          <w:sz w:val="28"/>
          <w:szCs w:val="28"/>
        </w:rPr>
        <w:t xml:space="preserve"> finally escaping to Germany in 1941, where he became the foremost Nazi collaborator in the Arab world. </w:t>
      </w:r>
      <w:r w:rsidR="001E5D8E">
        <w:rPr>
          <w:sz w:val="28"/>
          <w:szCs w:val="28"/>
        </w:rPr>
        <w:t>Ironically, the Nazi’s placed</w:t>
      </w:r>
      <w:r w:rsidR="001E5D8E" w:rsidRPr="000731C1">
        <w:rPr>
          <w:sz w:val="28"/>
          <w:szCs w:val="28"/>
        </w:rPr>
        <w:t xml:space="preserve"> Arabs amongst the undesirable races</w:t>
      </w:r>
      <w:r w:rsidR="001E5D8E">
        <w:rPr>
          <w:sz w:val="28"/>
          <w:szCs w:val="28"/>
        </w:rPr>
        <w:t xml:space="preserve"> alongside the Jews (both are Semitic “races”</w:t>
      </w:r>
      <w:r w:rsidR="001E5D8E" w:rsidRPr="000731C1">
        <w:rPr>
          <w:sz w:val="28"/>
          <w:szCs w:val="28"/>
        </w:rPr>
        <w:t>)</w:t>
      </w:r>
      <w:r w:rsidR="001E5D8E">
        <w:rPr>
          <w:sz w:val="28"/>
          <w:szCs w:val="28"/>
        </w:rPr>
        <w:t>.</w:t>
      </w:r>
    </w:p>
    <w:p w:rsidR="00052467" w:rsidRPr="000731C1" w:rsidRDefault="001E5D8E" w:rsidP="00052467">
      <w:pPr>
        <w:tabs>
          <w:tab w:val="left" w:pos="270"/>
        </w:tabs>
        <w:rPr>
          <w:sz w:val="28"/>
          <w:szCs w:val="28"/>
        </w:rPr>
      </w:pPr>
      <w:r>
        <w:rPr>
          <w:sz w:val="28"/>
          <w:szCs w:val="28"/>
        </w:rPr>
        <w:tab/>
        <w:t>A</w:t>
      </w:r>
      <w:r w:rsidRPr="000731C1">
        <w:rPr>
          <w:sz w:val="28"/>
          <w:szCs w:val="28"/>
        </w:rPr>
        <w:t xml:space="preserve">l-Husseini </w:t>
      </w:r>
      <w:r w:rsidR="000731C1" w:rsidRPr="000731C1">
        <w:rPr>
          <w:sz w:val="28"/>
          <w:szCs w:val="28"/>
        </w:rPr>
        <w:t>met wit</w:t>
      </w:r>
      <w:r>
        <w:rPr>
          <w:sz w:val="28"/>
          <w:szCs w:val="28"/>
        </w:rPr>
        <w:t>h Adolf Hitler in November 1941.</w:t>
      </w:r>
      <w:r w:rsidR="000731C1" w:rsidRPr="000731C1">
        <w:rPr>
          <w:sz w:val="28"/>
          <w:szCs w:val="28"/>
        </w:rPr>
        <w:t xml:space="preserve"> </w:t>
      </w:r>
      <w:r w:rsidRPr="000731C1">
        <w:rPr>
          <w:sz w:val="28"/>
          <w:szCs w:val="28"/>
        </w:rPr>
        <w:t xml:space="preserve">He </w:t>
      </w:r>
      <w:r w:rsidR="000731C1" w:rsidRPr="000731C1">
        <w:rPr>
          <w:sz w:val="28"/>
          <w:szCs w:val="28"/>
        </w:rPr>
        <w:t xml:space="preserve">and the Germans agreed that he would spread pro-Nazi propaganda, set up spy rings in Europe and the Middle East, and establish Muslim Nazi SS and </w:t>
      </w:r>
      <w:r w:rsidR="000731C1" w:rsidRPr="000731C1">
        <w:rPr>
          <w:i/>
          <w:sz w:val="28"/>
          <w:szCs w:val="28"/>
        </w:rPr>
        <w:t>Wehrmacht</w:t>
      </w:r>
      <w:r w:rsidR="000731C1" w:rsidRPr="000731C1">
        <w:rPr>
          <w:sz w:val="28"/>
          <w:szCs w:val="28"/>
        </w:rPr>
        <w:t xml:space="preserve"> divisions in the Balkans and North Africa. Through his contacts, he provided the Nazis with a forty-eight hour notice of the Allied landings in North Africa, which the </w:t>
      </w:r>
      <w:r w:rsidR="000731C1" w:rsidRPr="000731C1">
        <w:rPr>
          <w:i/>
          <w:sz w:val="28"/>
          <w:szCs w:val="28"/>
        </w:rPr>
        <w:t>Wehrmacht</w:t>
      </w:r>
      <w:r w:rsidR="000731C1" w:rsidRPr="000731C1">
        <w:rPr>
          <w:sz w:val="28"/>
          <w:szCs w:val="28"/>
        </w:rPr>
        <w:t xml:space="preserve"> ignored. The Mufti also raised three divisions of Muslims in the Balkans, the largest being the 13</w:t>
      </w:r>
      <w:r>
        <w:rPr>
          <w:sz w:val="28"/>
          <w:szCs w:val="28"/>
          <w:vertAlign w:val="superscript"/>
        </w:rPr>
        <w:t xml:space="preserve"> </w:t>
      </w:r>
      <w:r>
        <w:rPr>
          <w:sz w:val="28"/>
          <w:szCs w:val="28"/>
        </w:rPr>
        <w:t>Waffen-SS Division.</w:t>
      </w:r>
      <w:r w:rsidR="000731C1" w:rsidRPr="000731C1">
        <w:rPr>
          <w:sz w:val="28"/>
          <w:szCs w:val="28"/>
        </w:rPr>
        <w:t xml:space="preserve"> </w:t>
      </w:r>
    </w:p>
    <w:p w:rsidR="00073ADD" w:rsidRPr="000731C1" w:rsidRDefault="00073ADD" w:rsidP="00073ADD">
      <w:pPr>
        <w:tabs>
          <w:tab w:val="left" w:pos="270"/>
        </w:tabs>
        <w:rPr>
          <w:sz w:val="28"/>
          <w:szCs w:val="28"/>
        </w:rPr>
      </w:pPr>
    </w:p>
    <w:p w:rsidR="00FF2471" w:rsidRPr="000731C1" w:rsidRDefault="00AE4A73" w:rsidP="00AE4A73">
      <w:pPr>
        <w:widowControl w:val="0"/>
        <w:tabs>
          <w:tab w:val="left" w:pos="360"/>
        </w:tabs>
        <w:suppressAutoHyphens w:val="0"/>
        <w:autoSpaceDE w:val="0"/>
        <w:autoSpaceDN w:val="0"/>
        <w:adjustRightInd w:val="0"/>
        <w:rPr>
          <w:sz w:val="28"/>
          <w:szCs w:val="28"/>
          <w:lang w:eastAsia="en-US"/>
        </w:rPr>
      </w:pPr>
      <w:r w:rsidRPr="000731C1">
        <w:rPr>
          <w:sz w:val="28"/>
          <w:szCs w:val="28"/>
          <w:lang w:eastAsia="en-US"/>
        </w:rPr>
        <w:tab/>
      </w:r>
      <w:r w:rsidR="000731C1" w:rsidRPr="000731C1">
        <w:rPr>
          <w:sz w:val="28"/>
          <w:szCs w:val="28"/>
        </w:rPr>
        <w:t xml:space="preserve">Militarily, the Middle East had the potential to be a highly active theater of operations. Many thought the Germans would invade the area for the oil resources of Iraq and Saudi Arabia.  Instead the two powers that engaged in the most action were Great Britain and Italy.  For the first few months of the war the theater remained quiet until Italy declared war on France and Britain on June 10, 1940. Even though the Italians outnumbered the Allied forces in the region, they proved no match for the British Commonwealth forces. By early </w:t>
      </w:r>
      <w:r w:rsidR="000731C1" w:rsidRPr="000731C1">
        <w:rPr>
          <w:sz w:val="28"/>
          <w:szCs w:val="28"/>
        </w:rPr>
        <w:lastRenderedPageBreak/>
        <w:t xml:space="preserve">1941 the Italians were on the verge of being defeated and their colonies in Ethiopia and Somaliland were occupied. The Italians were saved though by the intervention of the German </w:t>
      </w:r>
      <w:r w:rsidR="000731C1" w:rsidRPr="000731C1">
        <w:rPr>
          <w:i/>
          <w:sz w:val="28"/>
          <w:szCs w:val="28"/>
        </w:rPr>
        <w:t>Afrika Korps</w:t>
      </w:r>
      <w:r w:rsidR="000731C1" w:rsidRPr="000731C1">
        <w:rPr>
          <w:sz w:val="28"/>
          <w:szCs w:val="28"/>
        </w:rPr>
        <w:t xml:space="preserve"> commanded by Erwin Rommel. It took another year and a half, to expel the Axis forces out of North Africa, after which the Middle East once again became a backwater for military operations</w:t>
      </w:r>
      <w:r w:rsidR="00231E9B" w:rsidRPr="000731C1">
        <w:rPr>
          <w:sz w:val="28"/>
          <w:szCs w:val="28"/>
          <w:lang w:eastAsia="en-US"/>
        </w:rPr>
        <w:t>.</w:t>
      </w:r>
    </w:p>
    <w:p w:rsidR="00073ADD" w:rsidRPr="000731C1" w:rsidRDefault="00073ADD" w:rsidP="00073ADD">
      <w:pPr>
        <w:tabs>
          <w:tab w:val="left" w:pos="270"/>
        </w:tabs>
        <w:rPr>
          <w:sz w:val="28"/>
          <w:szCs w:val="28"/>
        </w:rPr>
      </w:pPr>
    </w:p>
    <w:p w:rsidR="00FF2471" w:rsidRPr="000731C1" w:rsidRDefault="00AE4A73" w:rsidP="00AE4A73">
      <w:pPr>
        <w:widowControl w:val="0"/>
        <w:tabs>
          <w:tab w:val="left" w:pos="360"/>
        </w:tabs>
        <w:suppressAutoHyphens w:val="0"/>
        <w:autoSpaceDE w:val="0"/>
        <w:autoSpaceDN w:val="0"/>
        <w:adjustRightInd w:val="0"/>
        <w:rPr>
          <w:sz w:val="28"/>
          <w:szCs w:val="28"/>
          <w:lang w:eastAsia="en-US"/>
        </w:rPr>
      </w:pPr>
      <w:r w:rsidRPr="000731C1">
        <w:rPr>
          <w:sz w:val="28"/>
          <w:szCs w:val="28"/>
          <w:lang w:eastAsia="en-US"/>
        </w:rPr>
        <w:tab/>
      </w:r>
      <w:r w:rsidR="000731C1" w:rsidRPr="000731C1">
        <w:rPr>
          <w:sz w:val="28"/>
          <w:szCs w:val="28"/>
        </w:rPr>
        <w:t>The Nazi designs for the Middle East were based on far-flung dreams of world conquest. Their racial ideology regarding Jews, discredited in the West, became widely accepted in the Arab world. Jewish-Arab relations remain poisoned by this anti-Semitism (that both Arabs and Jews are Semites is beside the point). At war’s end, the push for a Jewish Homeland in Palestine gained strength from the horrific revelations of the Holocaust in Europe and the resulting guilt. Unlike Ho Chi Minh’s letters and pleadings, the Truman Administration did not ignore the calls for a sovereign Jewish homeland in Palestine. In 1948, the United States became the first country to recognize the new state of Israel, born in battle with the surrounding Arab states</w:t>
      </w:r>
      <w:r w:rsidR="00D40C5D" w:rsidRPr="000731C1">
        <w:rPr>
          <w:sz w:val="28"/>
          <w:szCs w:val="28"/>
          <w:lang w:eastAsia="en-US"/>
        </w:rPr>
        <w:t>.</w:t>
      </w:r>
    </w:p>
    <w:p w:rsidR="00073ADD" w:rsidRPr="000731C1" w:rsidRDefault="00073ADD" w:rsidP="000731C1">
      <w:pPr>
        <w:widowControl w:val="0"/>
        <w:tabs>
          <w:tab w:val="left" w:pos="360"/>
        </w:tabs>
        <w:suppressAutoHyphens w:val="0"/>
        <w:autoSpaceDE w:val="0"/>
        <w:autoSpaceDN w:val="0"/>
        <w:adjustRightInd w:val="0"/>
        <w:rPr>
          <w:sz w:val="26"/>
          <w:szCs w:val="26"/>
          <w:lang w:eastAsia="en-US"/>
        </w:rPr>
      </w:pPr>
    </w:p>
    <w:p w:rsidR="0036450A" w:rsidRPr="001C4690" w:rsidRDefault="0036450A" w:rsidP="001C4690">
      <w:pPr>
        <w:tabs>
          <w:tab w:val="left" w:pos="270"/>
        </w:tabs>
      </w:pPr>
      <w:r w:rsidRPr="001C4690">
        <w:rPr>
          <w:b/>
        </w:rPr>
        <w:t>Further Reading:</w:t>
      </w:r>
    </w:p>
    <w:p w:rsidR="000731C1" w:rsidRPr="004B54A0" w:rsidRDefault="000731C1" w:rsidP="000731C1">
      <w:r w:rsidRPr="004B54A0">
        <w:t xml:space="preserve">Francis R. Nicosia, </w:t>
      </w:r>
      <w:r w:rsidRPr="004B54A0">
        <w:rPr>
          <w:i/>
        </w:rPr>
        <w:t>Zionism and Anti-Semitism in Nazi Germany</w:t>
      </w:r>
      <w:r w:rsidRPr="004B54A0">
        <w:t xml:space="preserve"> (New York: Ca</w:t>
      </w:r>
      <w:r>
        <w:t>mbridge University Press, 2008).</w:t>
      </w:r>
    </w:p>
    <w:p w:rsidR="000731C1" w:rsidRDefault="000731C1" w:rsidP="000731C1">
      <w:pPr>
        <w:ind w:right="-270"/>
      </w:pPr>
      <w:r w:rsidRPr="004B54A0">
        <w:t xml:space="preserve">Francis R. Nicosia, </w:t>
      </w:r>
      <w:r w:rsidRPr="004B54A0">
        <w:rPr>
          <w:i/>
        </w:rPr>
        <w:t>The Third Reich and the Palestine Question</w:t>
      </w:r>
      <w:r w:rsidRPr="004B54A0">
        <w:t xml:space="preserve"> (Austin, TX: University of Texas Press, 1985)</w:t>
      </w:r>
      <w:r>
        <w:t xml:space="preserve">. </w:t>
      </w:r>
    </w:p>
    <w:p w:rsidR="000731C1" w:rsidRPr="003C149B" w:rsidRDefault="000731C1" w:rsidP="000731C1">
      <w:pPr>
        <w:ind w:right="-270"/>
      </w:pPr>
      <w:r w:rsidRPr="003C149B">
        <w:t>Norman</w:t>
      </w:r>
      <w:r>
        <w:t xml:space="preserve"> Goda,</w:t>
      </w:r>
      <w:r w:rsidRPr="003C149B">
        <w:t xml:space="preserve"> </w:t>
      </w:r>
      <w:r w:rsidRPr="003C149B">
        <w:rPr>
          <w:i/>
        </w:rPr>
        <w:t>Tomorrow the World: Hitler, Northwest Africa, and the Path toward America</w:t>
      </w:r>
      <w:r w:rsidRPr="003C149B">
        <w:t xml:space="preserve">. </w:t>
      </w:r>
      <w:r>
        <w:t>(</w:t>
      </w:r>
      <w:r w:rsidRPr="003C149B">
        <w:t>College</w:t>
      </w:r>
      <w:r>
        <w:t xml:space="preserve"> </w:t>
      </w:r>
      <w:r w:rsidRPr="003C149B">
        <w:t>Station, TX: Texas A&amp;M University Press, 1998.</w:t>
      </w:r>
      <w:r>
        <w:t>)</w:t>
      </w:r>
    </w:p>
    <w:p w:rsidR="000731C1" w:rsidRPr="00280B8C" w:rsidRDefault="000731C1" w:rsidP="000731C1">
      <w:pPr>
        <w:ind w:right="-270"/>
      </w:pPr>
      <w:r w:rsidRPr="00280B8C">
        <w:t xml:space="preserve">Jeffrey Herf,  </w:t>
      </w:r>
      <w:r w:rsidRPr="00280B8C">
        <w:rPr>
          <w:i/>
        </w:rPr>
        <w:t>Nazi Propaganda for the Arab World</w:t>
      </w:r>
      <w:r w:rsidRPr="00280B8C">
        <w:t xml:space="preserve"> (New Haven, CT: Yale University Press, 2009).</w:t>
      </w:r>
    </w:p>
    <w:p w:rsidR="000731C1" w:rsidRDefault="000731C1" w:rsidP="000731C1">
      <w:r w:rsidRPr="00280B8C">
        <w:t xml:space="preserve">Wolfgang Schwanitz, (ed.). </w:t>
      </w:r>
      <w:r w:rsidRPr="00280B8C">
        <w:rPr>
          <w:i/>
        </w:rPr>
        <w:t>Germany and the Middle East, 1871-1945</w:t>
      </w:r>
      <w:r>
        <w:t xml:space="preserve"> (</w:t>
      </w:r>
      <w:r w:rsidRPr="00280B8C">
        <w:t>Princeton: Markus Wiener Publishers, 2004</w:t>
      </w:r>
      <w:r>
        <w:t>)</w:t>
      </w:r>
      <w:r w:rsidRPr="00280B8C">
        <w:t>.</w:t>
      </w:r>
    </w:p>
    <w:p w:rsidR="000B4048" w:rsidRPr="000731C1" w:rsidRDefault="000731C1" w:rsidP="000731C1">
      <w:r w:rsidRPr="00280B8C">
        <w:t xml:space="preserve">Edwin Black, </w:t>
      </w:r>
      <w:r w:rsidRPr="003C149B">
        <w:rPr>
          <w:i/>
        </w:rPr>
        <w:t>The Farhud: Roots of the Arab-Nazi Alliance in the Holocaust</w:t>
      </w:r>
      <w:r>
        <w:t xml:space="preserve"> (Washington D.C: Dialog Press, 2010) </w:t>
      </w:r>
    </w:p>
    <w:p w:rsidR="00F41509" w:rsidRPr="00073ADD" w:rsidRDefault="00F41509" w:rsidP="00F41509">
      <w:pPr>
        <w:tabs>
          <w:tab w:val="left" w:pos="270"/>
        </w:tabs>
        <w:rPr>
          <w:sz w:val="20"/>
          <w:szCs w:val="20"/>
        </w:rPr>
      </w:pPr>
    </w:p>
    <w:p w:rsidR="0036450A" w:rsidRPr="001C4690" w:rsidRDefault="0036450A" w:rsidP="001C4690">
      <w:pPr>
        <w:tabs>
          <w:tab w:val="left" w:pos="270"/>
          <w:tab w:val="left" w:pos="1800"/>
        </w:tabs>
        <w:jc w:val="center"/>
        <w:rPr>
          <w:b/>
        </w:rPr>
      </w:pPr>
      <w:r w:rsidRPr="001C4690">
        <w:rPr>
          <w:b/>
        </w:rPr>
        <w:t>Announcements:</w:t>
      </w:r>
    </w:p>
    <w:p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Twin Cities Civil War</w:t>
      </w:r>
      <w:r w:rsidRPr="001C4690">
        <w:rPr>
          <w:sz w:val="20"/>
          <w:szCs w:val="20"/>
          <w:lang w:eastAsia="en-US"/>
        </w:rPr>
        <w:t xml:space="preserve"> Round Table  -  </w:t>
      </w:r>
    </w:p>
    <w:p w:rsidR="0036450A" w:rsidRPr="001C4690" w:rsidRDefault="000731C1" w:rsidP="001C4690">
      <w:pPr>
        <w:widowControl w:val="0"/>
        <w:tabs>
          <w:tab w:val="left" w:pos="270"/>
        </w:tabs>
        <w:suppressAutoHyphens w:val="0"/>
        <w:autoSpaceDE w:val="0"/>
        <w:autoSpaceDN w:val="0"/>
        <w:adjustRightInd w:val="0"/>
        <w:rPr>
          <w:sz w:val="20"/>
          <w:szCs w:val="20"/>
          <w:lang w:eastAsia="en-US"/>
        </w:rPr>
      </w:pPr>
      <w:r>
        <w:rPr>
          <w:sz w:val="20"/>
          <w:szCs w:val="20"/>
          <w:lang w:eastAsia="en-US"/>
        </w:rPr>
        <w:t>May 21</w:t>
      </w:r>
      <w:r w:rsidR="001C4690">
        <w:rPr>
          <w:sz w:val="20"/>
          <w:szCs w:val="20"/>
          <w:lang w:eastAsia="en-US"/>
        </w:rPr>
        <w:t>, 2013</w:t>
      </w:r>
      <w:r w:rsidR="0036450A" w:rsidRPr="001C4690">
        <w:rPr>
          <w:sz w:val="20"/>
          <w:szCs w:val="20"/>
          <w:lang w:eastAsia="en-US"/>
        </w:rPr>
        <w:t xml:space="preserve"> </w:t>
      </w:r>
      <w:r>
        <w:rPr>
          <w:sz w:val="20"/>
          <w:szCs w:val="20"/>
          <w:lang w:eastAsia="en-US"/>
        </w:rPr>
        <w:t>the Petersburg</w:t>
      </w:r>
      <w:r w:rsidR="001F36D9">
        <w:rPr>
          <w:sz w:val="20"/>
          <w:szCs w:val="20"/>
          <w:lang w:eastAsia="en-US"/>
        </w:rPr>
        <w:t xml:space="preserve"> Campaign - </w:t>
      </w:r>
      <w:hyperlink r:id="rId7" w:history="1">
        <w:r w:rsidR="0036450A" w:rsidRPr="001C4690">
          <w:rPr>
            <w:color w:val="0050B1"/>
            <w:sz w:val="20"/>
            <w:szCs w:val="20"/>
            <w:u w:val="single" w:color="0050B1"/>
            <w:lang w:eastAsia="en-US"/>
          </w:rPr>
          <w:t>www.tccwrt.com</w:t>
        </w:r>
      </w:hyperlink>
      <w:r w:rsidR="00597B5B">
        <w:rPr>
          <w:sz w:val="20"/>
          <w:szCs w:val="20"/>
          <w:lang w:eastAsia="en-US"/>
        </w:rPr>
        <w:t xml:space="preserve"> - info@</w:t>
      </w:r>
      <w:r w:rsidR="0036450A" w:rsidRPr="001C4690">
        <w:rPr>
          <w:sz w:val="20"/>
          <w:szCs w:val="20"/>
          <w:lang w:eastAsia="en-US"/>
        </w:rPr>
        <w:t>tccwrt.com</w:t>
      </w:r>
    </w:p>
    <w:p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St Croix Valley Civil War</w:t>
      </w:r>
      <w:r w:rsidRPr="001C4690">
        <w:rPr>
          <w:sz w:val="20"/>
          <w:szCs w:val="20"/>
          <w:lang w:eastAsia="en-US"/>
        </w:rPr>
        <w:t xml:space="preserve"> Round Table  - </w:t>
      </w:r>
      <w:r w:rsidR="000731C1">
        <w:rPr>
          <w:sz w:val="20"/>
          <w:szCs w:val="20"/>
          <w:lang w:eastAsia="en-US"/>
        </w:rPr>
        <w:t>April 22</w:t>
      </w:r>
      <w:r w:rsidR="000D200A" w:rsidRPr="001C4690">
        <w:rPr>
          <w:sz w:val="20"/>
          <w:szCs w:val="20"/>
          <w:lang w:eastAsia="en-US"/>
        </w:rPr>
        <w:t xml:space="preserve">, 2013 </w:t>
      </w:r>
      <w:r w:rsidR="000731C1">
        <w:rPr>
          <w:sz w:val="20"/>
          <w:szCs w:val="20"/>
          <w:lang w:eastAsia="en-US"/>
        </w:rPr>
        <w:t>Herman Haupt</w:t>
      </w:r>
      <w:r w:rsidR="001F36D9" w:rsidRPr="001F36D9">
        <w:rPr>
          <w:i/>
          <w:sz w:val="20"/>
          <w:szCs w:val="20"/>
          <w:lang w:eastAsia="en-US"/>
        </w:rPr>
        <w:t xml:space="preserve"> </w:t>
      </w:r>
      <w:r w:rsidRPr="001C4690">
        <w:rPr>
          <w:sz w:val="20"/>
          <w:szCs w:val="20"/>
          <w:lang w:eastAsia="en-US"/>
        </w:rPr>
        <w:t xml:space="preserve">- Steve Anderson  -  715-386-1268 – </w:t>
      </w:r>
      <w:hyperlink r:id="rId8" w:history="1">
        <w:r w:rsidRPr="001C4690">
          <w:rPr>
            <w:rStyle w:val="Hyperlink"/>
            <w:sz w:val="20"/>
            <w:szCs w:val="20"/>
            <w:lang w:eastAsia="en-US"/>
          </w:rPr>
          <w:t>rossandhaines@comcast.net</w:t>
        </w:r>
      </w:hyperlink>
      <w:r w:rsidRPr="001C4690">
        <w:rPr>
          <w:sz w:val="20"/>
          <w:szCs w:val="20"/>
          <w:lang w:eastAsia="en-US"/>
        </w:rPr>
        <w:t xml:space="preserve"> </w:t>
      </w:r>
    </w:p>
    <w:p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Rochester WWII</w:t>
      </w:r>
      <w:r w:rsidRPr="001C4690">
        <w:rPr>
          <w:sz w:val="20"/>
          <w:szCs w:val="20"/>
          <w:lang w:eastAsia="en-US"/>
        </w:rPr>
        <w:t xml:space="preserve"> History Round Table –507-280-9970; </w:t>
      </w:r>
      <w:hyperlink r:id="rId9" w:history="1">
        <w:r w:rsidRPr="001C4690">
          <w:rPr>
            <w:color w:val="0050B1"/>
            <w:sz w:val="20"/>
            <w:szCs w:val="20"/>
            <w:u w:val="single" w:color="0050B1"/>
            <w:lang w:eastAsia="en-US"/>
          </w:rPr>
          <w:t>www.ww2roundtable-rochester.org</w:t>
        </w:r>
      </w:hyperlink>
      <w:r w:rsidRPr="001C4690">
        <w:rPr>
          <w:sz w:val="20"/>
          <w:szCs w:val="20"/>
          <w:lang w:eastAsia="en-US"/>
        </w:rPr>
        <w:t xml:space="preserve"> </w:t>
      </w:r>
    </w:p>
    <w:p w:rsidR="0036450A" w:rsidRPr="001C4690" w:rsidRDefault="0036450A" w:rsidP="00073ADD">
      <w:pPr>
        <w:pBdr>
          <w:top w:val="single" w:sz="4" w:space="1" w:color="auto"/>
          <w:left w:val="single" w:sz="4" w:space="4" w:color="auto"/>
          <w:bottom w:val="single" w:sz="4" w:space="1" w:color="auto"/>
          <w:right w:val="single" w:sz="4" w:space="4" w:color="auto"/>
        </w:pBdr>
        <w:tabs>
          <w:tab w:val="left" w:pos="270"/>
        </w:tabs>
        <w:rPr>
          <w:sz w:val="20"/>
          <w:szCs w:val="20"/>
          <w:lang w:eastAsia="en-US"/>
        </w:rPr>
      </w:pPr>
      <w:r w:rsidRPr="001C4690">
        <w:rPr>
          <w:b/>
          <w:sz w:val="20"/>
          <w:szCs w:val="20"/>
          <w:lang w:eastAsia="en-US"/>
        </w:rPr>
        <w:t>Fort Snelling Civil War Symposium</w:t>
      </w:r>
      <w:r w:rsidRPr="001C4690">
        <w:rPr>
          <w:sz w:val="20"/>
          <w:szCs w:val="20"/>
          <w:lang w:eastAsia="en-US"/>
        </w:rPr>
        <w:t xml:space="preserve"> </w:t>
      </w:r>
      <w:r w:rsidR="000D200A" w:rsidRPr="001C4690">
        <w:rPr>
          <w:sz w:val="20"/>
          <w:szCs w:val="20"/>
          <w:lang w:eastAsia="en-US"/>
        </w:rPr>
        <w:t xml:space="preserve">13 </w:t>
      </w:r>
      <w:r w:rsidRPr="001C4690">
        <w:rPr>
          <w:sz w:val="20"/>
          <w:szCs w:val="20"/>
          <w:lang w:eastAsia="en-US"/>
        </w:rPr>
        <w:t xml:space="preserve">April 2013, </w:t>
      </w:r>
      <w:hyperlink r:id="rId10" w:history="1">
        <w:r w:rsidRPr="001C4690">
          <w:rPr>
            <w:rStyle w:val="Hyperlink"/>
            <w:sz w:val="20"/>
            <w:szCs w:val="20"/>
            <w:lang w:eastAsia="en-US"/>
          </w:rPr>
          <w:t>http://www.tccwrt.com/symposium.html</w:t>
        </w:r>
      </w:hyperlink>
      <w:r w:rsidRPr="001C4690">
        <w:rPr>
          <w:sz w:val="20"/>
          <w:szCs w:val="20"/>
          <w:lang w:eastAsia="en-US"/>
        </w:rPr>
        <w:t xml:space="preserve"> or </w:t>
      </w:r>
      <w:hyperlink r:id="rId11" w:history="1">
        <w:r w:rsidR="004F3649" w:rsidRPr="001C4690">
          <w:rPr>
            <w:rStyle w:val="Hyperlink"/>
            <w:sz w:val="20"/>
            <w:szCs w:val="20"/>
            <w:lang w:eastAsia="en-US"/>
          </w:rPr>
          <w:t>tccwrt@yahoo.com</w:t>
        </w:r>
      </w:hyperlink>
    </w:p>
    <w:p w:rsidR="0036450A" w:rsidRPr="001C4690" w:rsidRDefault="0036450A" w:rsidP="001C4690">
      <w:pPr>
        <w:tabs>
          <w:tab w:val="left" w:pos="270"/>
        </w:tabs>
        <w:rPr>
          <w:sz w:val="20"/>
          <w:szCs w:val="20"/>
        </w:rPr>
      </w:pPr>
      <w:r w:rsidRPr="001C4690">
        <w:rPr>
          <w:b/>
          <w:sz w:val="20"/>
          <w:szCs w:val="20"/>
        </w:rPr>
        <w:lastRenderedPageBreak/>
        <w:t>Minnesota Military Museum</w:t>
      </w:r>
      <w:r w:rsidRPr="001C4690">
        <w:rPr>
          <w:sz w:val="20"/>
          <w:szCs w:val="20"/>
        </w:rPr>
        <w:t xml:space="preserve">, Camp Ripley, 15000 Hwy 115, Little Falls, MN 56345, 320-616-6050, </w:t>
      </w:r>
      <w:hyperlink r:id="rId12" w:history="1">
        <w:r w:rsidRPr="001C4690">
          <w:rPr>
            <w:rStyle w:val="Hyperlink"/>
            <w:sz w:val="20"/>
            <w:szCs w:val="20"/>
          </w:rPr>
          <w:t>http://www.mnmilitarymuseum.org/</w:t>
        </w:r>
      </w:hyperlink>
      <w:r w:rsidRPr="001C4690">
        <w:rPr>
          <w:sz w:val="20"/>
          <w:szCs w:val="20"/>
        </w:rPr>
        <w:t xml:space="preserve"> </w:t>
      </w:r>
    </w:p>
    <w:p w:rsidR="0036450A" w:rsidRPr="001C4690" w:rsidRDefault="004F3649"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Air Show - Eden Prairie </w:t>
      </w:r>
      <w:r w:rsidRPr="001C4690">
        <w:rPr>
          <w:sz w:val="20"/>
          <w:szCs w:val="20"/>
          <w:lang w:eastAsia="en-US"/>
        </w:rPr>
        <w:t xml:space="preserve"> -  July, 13-14, 2013; </w:t>
      </w:r>
      <w:hyperlink r:id="rId13" w:history="1">
        <w:r w:rsidRPr="001C4690">
          <w:rPr>
            <w:rStyle w:val="Hyperlink"/>
            <w:sz w:val="20"/>
            <w:szCs w:val="20"/>
            <w:lang w:eastAsia="en-US"/>
          </w:rPr>
          <w:t>http://www.airexpo-mn.org/</w:t>
        </w:r>
      </w:hyperlink>
      <w:r w:rsidRPr="001C4690">
        <w:rPr>
          <w:sz w:val="20"/>
          <w:szCs w:val="20"/>
          <w:lang w:eastAsia="en-US"/>
        </w:rPr>
        <w:t xml:space="preserve"> -  952-746-6100  </w:t>
      </w:r>
    </w:p>
    <w:p w:rsidR="0036450A" w:rsidRPr="001C4690" w:rsidRDefault="0036450A" w:rsidP="001C4690">
      <w:pPr>
        <w:tabs>
          <w:tab w:val="left" w:pos="270"/>
          <w:tab w:val="left" w:pos="1800"/>
        </w:tabs>
        <w:rPr>
          <w:sz w:val="20"/>
          <w:szCs w:val="20"/>
        </w:rPr>
      </w:pPr>
      <w:r w:rsidRPr="001C4690">
        <w:rPr>
          <w:b/>
          <w:sz w:val="20"/>
          <w:szCs w:val="20"/>
        </w:rPr>
        <w:t>Honor Flight </w:t>
      </w:r>
      <w:r w:rsidRPr="001C4690">
        <w:rPr>
          <w:sz w:val="20"/>
          <w:szCs w:val="20"/>
        </w:rPr>
        <w:t xml:space="preserve"> -  Jerry Kyser  -  </w:t>
      </w:r>
      <w:hyperlink r:id="rId14" w:history="1">
        <w:r w:rsidRPr="001C4690">
          <w:rPr>
            <w:color w:val="0050B1"/>
            <w:sz w:val="20"/>
            <w:szCs w:val="20"/>
            <w:u w:val="single" w:color="0050B1"/>
          </w:rPr>
          <w:t>crazyjerry45@hotmail</w:t>
        </w:r>
      </w:hyperlink>
      <w:r w:rsidRPr="001C4690">
        <w:rPr>
          <w:sz w:val="20"/>
          <w:szCs w:val="20"/>
        </w:rPr>
        <w:t>  -  651-338-2717</w:t>
      </w:r>
    </w:p>
    <w:p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CAF  -  Commemorative Air Force </w:t>
      </w:r>
      <w:r w:rsidRPr="001C4690">
        <w:rPr>
          <w:sz w:val="20"/>
          <w:szCs w:val="20"/>
          <w:lang w:eastAsia="en-US"/>
        </w:rPr>
        <w:t xml:space="preserve"> -  </w:t>
      </w:r>
      <w:hyperlink r:id="rId15" w:history="1">
        <w:r w:rsidRPr="001C4690">
          <w:rPr>
            <w:color w:val="0050B1"/>
            <w:sz w:val="20"/>
            <w:szCs w:val="20"/>
            <w:u w:val="single" w:color="0050B1"/>
            <w:lang w:eastAsia="en-US"/>
          </w:rPr>
          <w:t>www.cafmn.org</w:t>
        </w:r>
      </w:hyperlink>
      <w:r w:rsidRPr="001C4690">
        <w:rPr>
          <w:sz w:val="20"/>
          <w:szCs w:val="20"/>
          <w:lang w:eastAsia="en-US"/>
        </w:rPr>
        <w:t>   or Bill at 952-201-8400</w:t>
      </w:r>
    </w:p>
    <w:p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 xml:space="preserve">Minnesota Air Guard Museum  </w:t>
      </w:r>
      <w:r w:rsidRPr="001C4690">
        <w:rPr>
          <w:sz w:val="20"/>
          <w:szCs w:val="20"/>
          <w:lang w:eastAsia="en-US"/>
        </w:rPr>
        <w:t xml:space="preserve">-  </w:t>
      </w:r>
      <w:hyperlink r:id="rId16" w:history="1">
        <w:r w:rsidRPr="001C4690">
          <w:rPr>
            <w:color w:val="0040A0"/>
            <w:sz w:val="20"/>
            <w:szCs w:val="20"/>
            <w:u w:val="single" w:color="0040A0"/>
            <w:lang w:eastAsia="en-US"/>
          </w:rPr>
          <w:t>www.mnangmuseum.org</w:t>
        </w:r>
      </w:hyperlink>
      <w:r w:rsidRPr="001C4690">
        <w:rPr>
          <w:sz w:val="20"/>
          <w:szCs w:val="20"/>
          <w:lang w:eastAsia="en-US"/>
        </w:rPr>
        <w:t>  612-713-2523</w:t>
      </w:r>
    </w:p>
    <w:p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Friends of Ft. Snelling</w:t>
      </w:r>
      <w:r w:rsidRPr="001C4690">
        <w:rPr>
          <w:sz w:val="20"/>
          <w:szCs w:val="20"/>
          <w:lang w:eastAsia="en-US"/>
        </w:rPr>
        <w:t xml:space="preserve">, </w:t>
      </w:r>
      <w:hyperlink r:id="rId17" w:history="1">
        <w:r w:rsidRPr="001C4690">
          <w:rPr>
            <w:rStyle w:val="Hyperlink"/>
            <w:sz w:val="20"/>
            <w:szCs w:val="20"/>
            <w:lang w:eastAsia="en-US"/>
          </w:rPr>
          <w:t>www.fortsnelling.com</w:t>
        </w:r>
      </w:hyperlink>
    </w:p>
    <w:p w:rsidR="0036450A" w:rsidRPr="001C4690" w:rsidRDefault="0036450A" w:rsidP="001C4690">
      <w:pPr>
        <w:tabs>
          <w:tab w:val="left" w:pos="270"/>
        </w:tabs>
        <w:suppressAutoHyphens w:val="0"/>
        <w:rPr>
          <w:sz w:val="20"/>
          <w:szCs w:val="20"/>
          <w:lang w:eastAsia="en-US"/>
        </w:rPr>
      </w:pPr>
      <w:r w:rsidRPr="001C4690">
        <w:rPr>
          <w:b/>
          <w:sz w:val="20"/>
          <w:szCs w:val="20"/>
          <w:lang w:eastAsia="en-US"/>
        </w:rPr>
        <w:t>Fagen Museum</w:t>
      </w:r>
      <w:r w:rsidRPr="001C4690">
        <w:rPr>
          <w:sz w:val="20"/>
          <w:szCs w:val="20"/>
          <w:lang w:eastAsia="en-US"/>
        </w:rPr>
        <w:t xml:space="preserve"> in Granite Falls,  www.fagenfighterswwiimuseum.org.  320-564-6644</w:t>
      </w:r>
    </w:p>
    <w:p w:rsidR="0036450A" w:rsidRPr="001C4690" w:rsidRDefault="0036450A" w:rsidP="001C4690">
      <w:pPr>
        <w:tabs>
          <w:tab w:val="left" w:pos="270"/>
        </w:tabs>
        <w:suppressAutoHyphens w:val="0"/>
        <w:rPr>
          <w:sz w:val="20"/>
          <w:szCs w:val="20"/>
          <w:lang w:eastAsia="en-US"/>
        </w:rPr>
      </w:pPr>
      <w:r w:rsidRPr="001C4690">
        <w:rPr>
          <w:b/>
          <w:sz w:val="20"/>
          <w:szCs w:val="20"/>
          <w:lang w:eastAsia="en-US"/>
        </w:rPr>
        <w:t>World War II Weekend</w:t>
      </w:r>
      <w:r w:rsidRPr="001C4690">
        <w:rPr>
          <w:sz w:val="20"/>
          <w:szCs w:val="20"/>
          <w:lang w:eastAsia="en-US"/>
        </w:rPr>
        <w:t>, Historic Fort Snelling, 8-9 June 2013,</w:t>
      </w:r>
      <w:r w:rsidRPr="001C4690">
        <w:rPr>
          <w:color w:val="333333"/>
          <w:sz w:val="20"/>
          <w:szCs w:val="20"/>
        </w:rPr>
        <w:t xml:space="preserve"> </w:t>
      </w:r>
      <w:r w:rsidR="00597B5B" w:rsidRPr="00597B5B">
        <w:rPr>
          <w:color w:val="333333"/>
          <w:sz w:val="20"/>
          <w:szCs w:val="20"/>
        </w:rPr>
        <w:t>http://events.mnhs.org/calendar/index.cfm</w:t>
      </w:r>
    </w:p>
    <w:p w:rsidR="004F3649" w:rsidRPr="001C4690" w:rsidRDefault="0036450A" w:rsidP="001C4690">
      <w:pPr>
        <w:tabs>
          <w:tab w:val="left" w:pos="270"/>
        </w:tabs>
        <w:suppressAutoHyphens w:val="0"/>
        <w:rPr>
          <w:rStyle w:val="Hyperlink"/>
          <w:sz w:val="20"/>
          <w:szCs w:val="20"/>
        </w:rPr>
      </w:pPr>
      <w:r w:rsidRPr="001C4690">
        <w:rPr>
          <w:b/>
          <w:sz w:val="20"/>
          <w:szCs w:val="20"/>
          <w:lang w:eastAsia="en-US"/>
        </w:rPr>
        <w:t>Civil War Weekend</w:t>
      </w:r>
      <w:r w:rsidRPr="001C4690">
        <w:rPr>
          <w:sz w:val="20"/>
          <w:szCs w:val="20"/>
          <w:lang w:eastAsia="en-US"/>
        </w:rPr>
        <w:t xml:space="preserve">, Historic Fort Snelling, 17-18 August 2013, </w:t>
      </w:r>
      <w:r w:rsidR="00597B5B" w:rsidRPr="00597B5B">
        <w:rPr>
          <w:sz w:val="20"/>
          <w:szCs w:val="20"/>
          <w:lang w:eastAsia="en-US"/>
        </w:rPr>
        <w:t>http://events.mnhs.org/calendar/index.cfm</w:t>
      </w:r>
    </w:p>
    <w:p w:rsidR="00F41509" w:rsidRPr="00073ADD" w:rsidRDefault="00F41509" w:rsidP="00F41509">
      <w:pPr>
        <w:tabs>
          <w:tab w:val="left" w:pos="270"/>
        </w:tabs>
        <w:rPr>
          <w:sz w:val="20"/>
          <w:szCs w:val="20"/>
        </w:rPr>
      </w:pPr>
    </w:p>
    <w:p w:rsidR="0036450A" w:rsidRPr="003C1B57" w:rsidRDefault="000D200A" w:rsidP="001C4690">
      <w:pPr>
        <w:pBdr>
          <w:bottom w:val="single" w:sz="6" w:space="1" w:color="auto"/>
        </w:pBdr>
        <w:tabs>
          <w:tab w:val="left" w:pos="270"/>
        </w:tabs>
        <w:jc w:val="center"/>
        <w:rPr>
          <w:b/>
          <w:sz w:val="22"/>
          <w:szCs w:val="22"/>
        </w:rPr>
      </w:pPr>
      <w:r w:rsidRPr="003C1B57">
        <w:rPr>
          <w:b/>
          <w:sz w:val="22"/>
          <w:szCs w:val="22"/>
        </w:rPr>
        <w:t xml:space="preserve">Round Table Schedule </w:t>
      </w:r>
      <w:r w:rsidR="0036450A" w:rsidRPr="003C1B57">
        <w:rPr>
          <w:b/>
          <w:sz w:val="22"/>
          <w:szCs w:val="22"/>
        </w:rPr>
        <w:t>2013</w:t>
      </w:r>
    </w:p>
    <w:p w:rsidR="0036450A" w:rsidRPr="003C1B57" w:rsidRDefault="0036450A" w:rsidP="001C4690">
      <w:pPr>
        <w:tabs>
          <w:tab w:val="left" w:pos="270"/>
          <w:tab w:val="left" w:pos="900"/>
        </w:tabs>
        <w:rPr>
          <w:sz w:val="22"/>
          <w:szCs w:val="22"/>
        </w:rPr>
      </w:pPr>
      <w:r w:rsidRPr="003C1B57">
        <w:rPr>
          <w:sz w:val="22"/>
          <w:szCs w:val="22"/>
        </w:rPr>
        <w:t>11 Apr.</w:t>
      </w:r>
      <w:r w:rsidRPr="003C1B57">
        <w:rPr>
          <w:sz w:val="22"/>
          <w:szCs w:val="22"/>
        </w:rPr>
        <w:tab/>
      </w:r>
      <w:r w:rsidR="003C1B57" w:rsidRPr="003C1B57">
        <w:rPr>
          <w:sz w:val="22"/>
          <w:szCs w:val="22"/>
        </w:rPr>
        <w:t>Mobilizing the National Guard in WW2</w:t>
      </w:r>
    </w:p>
    <w:p w:rsidR="0036450A" w:rsidRPr="003C1B57" w:rsidRDefault="0036450A" w:rsidP="001C4690">
      <w:pPr>
        <w:tabs>
          <w:tab w:val="left" w:pos="270"/>
          <w:tab w:val="left" w:pos="900"/>
        </w:tabs>
        <w:spacing w:after="120"/>
        <w:rPr>
          <w:sz w:val="22"/>
          <w:szCs w:val="22"/>
        </w:rPr>
      </w:pPr>
      <w:r w:rsidRPr="003C1B57">
        <w:rPr>
          <w:sz w:val="22"/>
          <w:szCs w:val="22"/>
        </w:rPr>
        <w:t>9 May</w:t>
      </w:r>
      <w:r w:rsidRPr="003C1B57">
        <w:rPr>
          <w:sz w:val="22"/>
          <w:szCs w:val="22"/>
        </w:rPr>
        <w:tab/>
        <w:t>Kampfgruppe Peiper at Malmedy</w:t>
      </w:r>
    </w:p>
    <w:p w:rsidR="008957D9" w:rsidRPr="003C1B57" w:rsidRDefault="0036450A" w:rsidP="001C4690">
      <w:pPr>
        <w:tabs>
          <w:tab w:val="left" w:pos="270"/>
        </w:tabs>
        <w:spacing w:after="120"/>
        <w:rPr>
          <w:sz w:val="22"/>
          <w:szCs w:val="22"/>
        </w:rPr>
      </w:pPr>
      <w:r w:rsidRPr="003C1B57">
        <w:rPr>
          <w:b/>
          <w:sz w:val="22"/>
          <w:szCs w:val="22"/>
        </w:rPr>
        <w:t xml:space="preserve">If you are a veteran, </w:t>
      </w:r>
      <w:r w:rsidRPr="003C1B57">
        <w:rPr>
          <w:sz w:val="22"/>
          <w:szCs w:val="22"/>
        </w:rPr>
        <w:t>or know a veteran,</w:t>
      </w:r>
      <w:r w:rsidRPr="003C1B57">
        <w:rPr>
          <w:b/>
          <w:sz w:val="22"/>
          <w:szCs w:val="22"/>
        </w:rPr>
        <w:t xml:space="preserve"> of one of these campaigns</w:t>
      </w:r>
      <w:r w:rsidRPr="003C1B57">
        <w:rPr>
          <w:sz w:val="22"/>
          <w:szCs w:val="22"/>
        </w:rPr>
        <w:t xml:space="preserve"> – contact Don Patton at cell 612-867-5144 or </w:t>
      </w:r>
      <w:hyperlink r:id="rId18" w:history="1">
        <w:r w:rsidR="00C424AE" w:rsidRPr="003C1B57">
          <w:rPr>
            <w:rStyle w:val="Hyperlink"/>
            <w:sz w:val="22"/>
            <w:szCs w:val="22"/>
          </w:rPr>
          <w:t>coldpatton@yahoo.com</w:t>
        </w:r>
      </w:hyperlink>
    </w:p>
    <w:p w:rsidR="00F41509" w:rsidRPr="00073ADD" w:rsidRDefault="00F41509" w:rsidP="00F41509">
      <w:pPr>
        <w:tabs>
          <w:tab w:val="left" w:pos="270"/>
        </w:tabs>
        <w:rPr>
          <w:sz w:val="20"/>
          <w:szCs w:val="20"/>
        </w:rPr>
      </w:pPr>
    </w:p>
    <w:p w:rsidR="0078556D" w:rsidRPr="003C1B57" w:rsidRDefault="0078556D" w:rsidP="0078556D">
      <w:pPr>
        <w:tabs>
          <w:tab w:val="left" w:pos="270"/>
        </w:tabs>
        <w:spacing w:after="120"/>
        <w:jc w:val="center"/>
        <w:rPr>
          <w:sz w:val="16"/>
          <w:szCs w:val="16"/>
          <w:lang w:eastAsia="en-US"/>
        </w:rPr>
      </w:pPr>
    </w:p>
    <w:sectPr w:rsidR="0078556D" w:rsidRPr="003C1B57" w:rsidSect="00B52111">
      <w:headerReference w:type="default" r:id="rId19"/>
      <w:footerReference w:type="default" r:id="rId20"/>
      <w:headerReference w:type="first" r:id="rId21"/>
      <w:footerReference w:type="first" r:id="rId22"/>
      <w:type w:val="continuous"/>
      <w:pgSz w:w="12240" w:h="20160"/>
      <w:pgMar w:top="720" w:right="1152" w:bottom="720" w:left="1008" w:header="720" w:footer="360" w:gutter="0"/>
      <w:cols w:num="2" w:space="720" w:equalWidth="0">
        <w:col w:w="4752" w:space="720"/>
        <w:col w:w="4608"/>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DE" w:rsidRDefault="00C709DE">
      <w:r>
        <w:separator/>
      </w:r>
    </w:p>
  </w:endnote>
  <w:endnote w:type="continuationSeparator" w:id="0">
    <w:p w:rsidR="00C709DE" w:rsidRDefault="00C70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6" w:rsidRDefault="00F93206">
    <w:pPr>
      <w:suppressAutoHyphens w:val="0"/>
      <w:jc w:val="cen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6" w:rsidRPr="001C4690" w:rsidRDefault="00F93206" w:rsidP="00073ADD">
    <w:pPr>
      <w:tabs>
        <w:tab w:val="left" w:pos="270"/>
      </w:tabs>
      <w:spacing w:after="120"/>
    </w:pPr>
    <w:r w:rsidRPr="001C4690">
      <w:rPr>
        <w:b/>
      </w:rPr>
      <w:t xml:space="preserve">If you are a veteran, </w:t>
    </w:r>
    <w:r w:rsidRPr="001C4690">
      <w:t>or know a veteran,</w:t>
    </w:r>
    <w:r w:rsidRPr="001C4690">
      <w:rPr>
        <w:b/>
      </w:rPr>
      <w:t xml:space="preserve"> of one of these campaigns</w:t>
    </w:r>
    <w:r w:rsidRPr="001C4690">
      <w:t xml:space="preserve"> – contact Don Patton at cell 612-867-5144 or </w:t>
    </w:r>
    <w:hyperlink r:id="rId1" w:history="1">
      <w:r w:rsidRPr="001C4690">
        <w:rPr>
          <w:rStyle w:val="Hyperlink"/>
        </w:rPr>
        <w:t>coldpatton@yahoo.com</w:t>
      </w:r>
    </w:hyperlink>
  </w:p>
  <w:p w:rsidR="00F93206" w:rsidRDefault="00F93206">
    <w:pPr>
      <w:suppressAutoHyphens w:val="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DE" w:rsidRDefault="00C709DE">
      <w:r>
        <w:separator/>
      </w:r>
    </w:p>
  </w:footnote>
  <w:footnote w:type="continuationSeparator" w:id="0">
    <w:p w:rsidR="00C709DE" w:rsidRDefault="00C70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6" w:rsidRDefault="00F93206">
    <w:pPr>
      <w:pStyle w:val="Header"/>
      <w:pBdr>
        <w:bottom w:val="single" w:sz="18" w:space="1" w:color="auto"/>
      </w:pBdr>
      <w:tabs>
        <w:tab w:val="clear" w:pos="8640"/>
        <w:tab w:val="right" w:pos="9990"/>
      </w:tabs>
    </w:pPr>
    <w:r>
      <w:rPr>
        <w:b/>
        <w:sz w:val="28"/>
      </w:rPr>
      <w:t xml:space="preserve"> </w:t>
    </w:r>
    <w:r w:rsidR="000731C1">
      <w:rPr>
        <w:b/>
        <w:sz w:val="28"/>
      </w:rPr>
      <w:t>The Round Tablette</w:t>
    </w:r>
    <w:r w:rsidR="000731C1">
      <w:rPr>
        <w:b/>
        <w:sz w:val="28"/>
      </w:rPr>
      <w:tab/>
    </w:r>
    <w:r w:rsidR="000731C1">
      <w:rPr>
        <w:b/>
        <w:sz w:val="28"/>
      </w:rPr>
      <w:tab/>
      <w:t>28</w:t>
    </w:r>
    <w:r w:rsidR="00E95C3E">
      <w:rPr>
        <w:b/>
        <w:sz w:val="28"/>
      </w:rPr>
      <w:t xml:space="preserve"> March 2013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3E" w:rsidRDefault="00E95C3E" w:rsidP="00E95C3E">
    <w:pPr>
      <w:pStyle w:val="Header"/>
      <w:pBdr>
        <w:top w:val="single" w:sz="18" w:space="1" w:color="auto"/>
        <w:bottom w:val="single" w:sz="18" w:space="1" w:color="auto"/>
      </w:pBdr>
      <w:tabs>
        <w:tab w:val="clear" w:pos="8640"/>
        <w:tab w:val="right" w:pos="9540"/>
        <w:tab w:val="left" w:pos="9720"/>
      </w:tabs>
      <w:ind w:right="-72"/>
      <w:jc w:val="center"/>
      <w:rPr>
        <w:b/>
        <w:sz w:val="96"/>
      </w:rPr>
    </w:pPr>
    <w:r>
      <w:rPr>
        <w:b/>
        <w:sz w:val="96"/>
      </w:rPr>
      <w:t>The Round Tablette</w:t>
    </w:r>
  </w:p>
  <w:p w:rsidR="00E95C3E" w:rsidRDefault="00E95C3E" w:rsidP="00E95C3E">
    <w:pPr>
      <w:pStyle w:val="Header"/>
      <w:pBdr>
        <w:top w:val="single" w:sz="18" w:space="1" w:color="auto"/>
        <w:bottom w:val="single" w:sz="18" w:space="1" w:color="auto"/>
      </w:pBdr>
      <w:tabs>
        <w:tab w:val="clear" w:pos="8640"/>
        <w:tab w:val="right" w:pos="9540"/>
        <w:tab w:val="left" w:pos="9720"/>
      </w:tabs>
      <w:ind w:right="-72"/>
      <w:jc w:val="center"/>
      <w:rPr>
        <w:b/>
      </w:rPr>
    </w:pPr>
    <w:r>
      <w:rPr>
        <w:b/>
        <w:i/>
      </w:rPr>
      <w:t>Founding Editor:</w:t>
    </w:r>
    <w:r>
      <w:rPr>
        <w:b/>
      </w:rPr>
      <w:t xml:space="preserve"> </w:t>
    </w:r>
    <w:r>
      <w:rPr>
        <w:b/>
        <w:i/>
      </w:rPr>
      <w:t>James W. Gerber, MD (1951–2009)</w:t>
    </w:r>
  </w:p>
  <w:p w:rsidR="00F93206" w:rsidRDefault="00F93206" w:rsidP="0036450A">
    <w:pPr>
      <w:pStyle w:val="Header"/>
      <w:pBdr>
        <w:top w:val="single" w:sz="18" w:space="1" w:color="auto"/>
        <w:bottom w:val="single" w:sz="18" w:space="1" w:color="auto"/>
      </w:pBdr>
      <w:tabs>
        <w:tab w:val="clear" w:pos="8640"/>
        <w:tab w:val="right" w:pos="9540"/>
        <w:tab w:val="left" w:pos="9720"/>
      </w:tabs>
      <w:ind w:right="-72"/>
      <w:jc w:val="center"/>
      <w:rPr>
        <w:b/>
      </w:rPr>
    </w:pPr>
    <w:r>
      <w:rPr>
        <w:b/>
        <w:sz w:val="9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15CEA9E"/>
    <w:lvl w:ilvl="0" w:tplc="49A49C16">
      <w:numFmt w:val="none"/>
      <w:lvlText w:val=""/>
      <w:lvlJc w:val="left"/>
      <w:pPr>
        <w:tabs>
          <w:tab w:val="num" w:pos="360"/>
        </w:tabs>
      </w:pPr>
    </w:lvl>
    <w:lvl w:ilvl="1" w:tplc="A61023A4">
      <w:numFmt w:val="none"/>
      <w:lvlText w:val=""/>
      <w:lvlJc w:val="left"/>
      <w:pPr>
        <w:tabs>
          <w:tab w:val="num" w:pos="360"/>
        </w:tabs>
      </w:pPr>
    </w:lvl>
    <w:lvl w:ilvl="2" w:tplc="AB44D476">
      <w:numFmt w:val="decimal"/>
      <w:lvlText w:val=""/>
      <w:lvlJc w:val="left"/>
      <w:rPr>
        <w:rFonts w:cs="Times New Roman"/>
      </w:rPr>
    </w:lvl>
    <w:lvl w:ilvl="3" w:tplc="746E084A">
      <w:numFmt w:val="decimal"/>
      <w:lvlText w:val=""/>
      <w:lvlJc w:val="left"/>
      <w:rPr>
        <w:rFonts w:cs="Times New Roman"/>
      </w:rPr>
    </w:lvl>
    <w:lvl w:ilvl="4" w:tplc="77626938">
      <w:numFmt w:val="decimal"/>
      <w:lvlText w:val=""/>
      <w:lvlJc w:val="left"/>
      <w:rPr>
        <w:rFonts w:cs="Times New Roman"/>
      </w:rPr>
    </w:lvl>
    <w:lvl w:ilvl="5" w:tplc="EF2E7BC4">
      <w:numFmt w:val="decimal"/>
      <w:lvlText w:val=""/>
      <w:lvlJc w:val="left"/>
      <w:rPr>
        <w:rFonts w:cs="Times New Roman"/>
      </w:rPr>
    </w:lvl>
    <w:lvl w:ilvl="6" w:tplc="A15E10F6">
      <w:numFmt w:val="decimal"/>
      <w:lvlText w:val=""/>
      <w:lvlJc w:val="left"/>
      <w:rPr>
        <w:rFonts w:cs="Times New Roman"/>
      </w:rPr>
    </w:lvl>
    <w:lvl w:ilvl="7" w:tplc="F24E2FCC">
      <w:numFmt w:val="decimal"/>
      <w:lvlText w:val=""/>
      <w:lvlJc w:val="left"/>
      <w:rPr>
        <w:rFonts w:cs="Times New Roman"/>
      </w:rPr>
    </w:lvl>
    <w:lvl w:ilvl="8" w:tplc="18C801F4">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AB4"/>
    <w:rsid w:val="00000F0C"/>
    <w:rsid w:val="00005B77"/>
    <w:rsid w:val="00007C51"/>
    <w:rsid w:val="00052467"/>
    <w:rsid w:val="000731C1"/>
    <w:rsid w:val="00073ADD"/>
    <w:rsid w:val="000B3644"/>
    <w:rsid w:val="000B4048"/>
    <w:rsid w:val="000D200A"/>
    <w:rsid w:val="001C4690"/>
    <w:rsid w:val="001E5D8E"/>
    <w:rsid w:val="001F36D9"/>
    <w:rsid w:val="00231E9B"/>
    <w:rsid w:val="00280B8C"/>
    <w:rsid w:val="002B4F83"/>
    <w:rsid w:val="00345AB4"/>
    <w:rsid w:val="003468C5"/>
    <w:rsid w:val="00352E25"/>
    <w:rsid w:val="0036450A"/>
    <w:rsid w:val="003C149B"/>
    <w:rsid w:val="003C1B57"/>
    <w:rsid w:val="0045220F"/>
    <w:rsid w:val="00490BA2"/>
    <w:rsid w:val="004B54A0"/>
    <w:rsid w:val="004C38C1"/>
    <w:rsid w:val="004C7472"/>
    <w:rsid w:val="004D47D1"/>
    <w:rsid w:val="004F3649"/>
    <w:rsid w:val="00513E1C"/>
    <w:rsid w:val="00531ECE"/>
    <w:rsid w:val="00573C46"/>
    <w:rsid w:val="00597B5B"/>
    <w:rsid w:val="006103D7"/>
    <w:rsid w:val="0062364D"/>
    <w:rsid w:val="0078556D"/>
    <w:rsid w:val="00826011"/>
    <w:rsid w:val="008957D9"/>
    <w:rsid w:val="00945051"/>
    <w:rsid w:val="009E2D80"/>
    <w:rsid w:val="009F44CD"/>
    <w:rsid w:val="00A9302B"/>
    <w:rsid w:val="00AA6E6D"/>
    <w:rsid w:val="00AB1711"/>
    <w:rsid w:val="00AE4A73"/>
    <w:rsid w:val="00B00D10"/>
    <w:rsid w:val="00B3468C"/>
    <w:rsid w:val="00B52111"/>
    <w:rsid w:val="00B6617F"/>
    <w:rsid w:val="00B671BC"/>
    <w:rsid w:val="00BB4364"/>
    <w:rsid w:val="00C2644F"/>
    <w:rsid w:val="00C35211"/>
    <w:rsid w:val="00C37A3A"/>
    <w:rsid w:val="00C424AE"/>
    <w:rsid w:val="00C709DE"/>
    <w:rsid w:val="00CE2636"/>
    <w:rsid w:val="00D40C5D"/>
    <w:rsid w:val="00D51B15"/>
    <w:rsid w:val="00E95C3E"/>
    <w:rsid w:val="00F07B93"/>
    <w:rsid w:val="00F41509"/>
    <w:rsid w:val="00F75ECA"/>
    <w:rsid w:val="00F77E51"/>
    <w:rsid w:val="00F93206"/>
    <w:rsid w:val="00FF24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uiPriority w:val="9"/>
    <w:qFormat/>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Calibri" w:hAnsi="Calibri"/>
      <w:b/>
      <w:i/>
      <w:sz w:val="28"/>
      <w:lang w:eastAsia="ar-SA"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ar-SA"/>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ar-SA"/>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eastAsia="ar-SA"/>
    </w:rPr>
  </w:style>
  <w:style w:type="character" w:styleId="FootnoteReference">
    <w:name w:val="footnote reference"/>
    <w:basedOn w:val="DefaultParagraphFont"/>
    <w:uiPriority w:val="99"/>
    <w:semiHidden/>
    <w:rPr>
      <w:vertAlign w:val="superscript"/>
    </w:rPr>
  </w:style>
  <w:style w:type="character" w:styleId="Strong">
    <w:name w:val="Strong"/>
    <w:basedOn w:val="DefaultParagraphFont"/>
    <w:uiPriority w:val="22"/>
    <w:qFormat/>
    <w:rPr>
      <w:b/>
    </w:rPr>
  </w:style>
  <w:style w:type="character" w:customStyle="1" w:styleId="apple-converted-space">
    <w:name w:val="apple-converted-space"/>
    <w:basedOn w:val="DefaultParagraphFont"/>
    <w:rPr>
      <w:rFonts w:cs="Times New Roman"/>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05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45051"/>
    <w:rPr>
      <w:rFonts w:ascii="Lucida Grande" w:hAnsi="Lucida Grande"/>
      <w:sz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sandhaines@comcast.net" TargetMode="External"/><Relationship Id="rId13" Type="http://schemas.openxmlformats.org/officeDocument/2006/relationships/hyperlink" Target="http://www.airexpo-mn.org/" TargetMode="External"/><Relationship Id="rId18" Type="http://schemas.openxmlformats.org/officeDocument/2006/relationships/hyperlink" Target="mailto:coldpatton@yahoo.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tccwrt.com/" TargetMode="External"/><Relationship Id="rId12" Type="http://schemas.openxmlformats.org/officeDocument/2006/relationships/hyperlink" Target="http://www.mnmilitarymuseum.org/" TargetMode="External"/><Relationship Id="rId17" Type="http://schemas.openxmlformats.org/officeDocument/2006/relationships/hyperlink" Target="http://www.fortsnelling.com" TargetMode="External"/><Relationship Id="rId2" Type="http://schemas.openxmlformats.org/officeDocument/2006/relationships/styles" Target="styles.xml"/><Relationship Id="rId16" Type="http://schemas.openxmlformats.org/officeDocument/2006/relationships/hyperlink" Target="http://www.mnangmuseum.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cwrt@yaho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fmn.org/" TargetMode="External"/><Relationship Id="rId23" Type="http://schemas.openxmlformats.org/officeDocument/2006/relationships/fontTable" Target="fontTable.xml"/><Relationship Id="rId10" Type="http://schemas.openxmlformats.org/officeDocument/2006/relationships/hyperlink" Target="http://www.tccwrt.com/symposium.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w2roundtable-rochester.org/" TargetMode="External"/><Relationship Id="rId14" Type="http://schemas.openxmlformats.org/officeDocument/2006/relationships/hyperlink" Target="file:///U:\Users\GXB\Data\WW2Website\RoundTablettes%20(reformatted)\crazyjerry45@hotmai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6386</Characters>
  <Application>Microsoft Office Word</Application>
  <DocSecurity>0</DocSecurity>
  <Lines>53</Lines>
  <Paragraphs>14</Paragraphs>
  <ScaleCrop>false</ScaleCrop>
  <Company>University of St. Thomas</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GXB</cp:lastModifiedBy>
  <cp:revision>2</cp:revision>
  <cp:lastPrinted>2012-12-26T22:41:00Z</cp:lastPrinted>
  <dcterms:created xsi:type="dcterms:W3CDTF">2013-03-04T01:25:00Z</dcterms:created>
  <dcterms:modified xsi:type="dcterms:W3CDTF">2013-03-04T01:25:00Z</dcterms:modified>
</cp:coreProperties>
</file>