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25A59">
      <w:pPr>
        <w:pStyle w:val="DefaultStyle"/>
        <w:tabs>
          <w:tab w:val="left" w:pos="270"/>
          <w:tab w:val="left" w:pos="5400"/>
        </w:tabs>
      </w:pPr>
      <w:bookmarkStart w:id="0" w:name="_GoBack"/>
      <w:bookmarkEnd w:id="0"/>
      <w:r>
        <w:t>Thursday, 14 Dec. 2017</w:t>
      </w:r>
    </w:p>
    <w:p w:rsidR="00000000" w:rsidRDefault="00B25A59">
      <w:pPr>
        <w:pStyle w:val="DefaultStyle"/>
        <w:tabs>
          <w:tab w:val="left" w:pos="270"/>
          <w:tab w:val="left" w:pos="5400"/>
        </w:tabs>
      </w:pPr>
      <w:r>
        <w:t>31:05          Volume 31  Number 5</w:t>
      </w:r>
    </w:p>
    <w:p w:rsidR="00000000" w:rsidRDefault="00B25A59">
      <w:pPr>
        <w:pStyle w:val="DefaultStyle"/>
        <w:tabs>
          <w:tab w:val="left" w:pos="270"/>
        </w:tabs>
      </w:pPr>
      <w:r>
        <w:t>Published by WW II History Round Table</w:t>
      </w:r>
    </w:p>
    <w:p w:rsidR="00000000" w:rsidRDefault="00B25A59">
      <w:pPr>
        <w:pStyle w:val="DefaultStyle"/>
        <w:pBdr>
          <w:bottom w:val="single" w:sz="8" w:space="1" w:color="000001"/>
        </w:pBdr>
        <w:tabs>
          <w:tab w:val="left" w:pos="270"/>
        </w:tabs>
        <w:rPr>
          <w:sz w:val="22"/>
          <w:szCs w:val="22"/>
        </w:rPr>
      </w:pPr>
      <w:r>
        <w:rPr>
          <w:sz w:val="22"/>
          <w:szCs w:val="22"/>
        </w:rPr>
        <w:t>Written by Drs. Connie Harris &amp; Christopher Simer</w:t>
      </w:r>
    </w:p>
    <w:p w:rsidR="00000000" w:rsidRDefault="00B25A59">
      <w:pPr>
        <w:pStyle w:val="DefaultStyle"/>
        <w:pBdr>
          <w:bottom w:val="single" w:sz="8" w:space="1" w:color="000001"/>
        </w:pBdr>
        <w:tabs>
          <w:tab w:val="left" w:pos="270"/>
        </w:tabs>
        <w:spacing w:after="40"/>
      </w:pPr>
      <w:r>
        <w:t>www.mn-ww2roundtable.org</w:t>
      </w:r>
    </w:p>
    <w:p w:rsidR="00000000" w:rsidRDefault="00B25A59">
      <w:pPr>
        <w:widowControl w:val="0"/>
        <w:tabs>
          <w:tab w:val="left" w:pos="212"/>
        </w:tabs>
      </w:pPr>
      <w:r>
        <w:rPr>
          <w:rFonts w:ascii="TimesNewRomanPS-BoldMT" w:hAnsi="TimesNewRomanPS-BoldMT" w:cs="TimesNewRomanPS-BoldMT"/>
          <w:b/>
          <w:bCs/>
          <w:sz w:val="26"/>
          <w:szCs w:val="26"/>
        </w:rPr>
        <w:t>Welcome to the December meeting of the Dr. Harold C. Deutsch World War II History Round Table.</w:t>
      </w:r>
      <w:r>
        <w:rPr>
          <w:rFonts w:ascii="TimesNewRomanPSMT" w:hAnsi="TimesNewRomanPSMT" w:cs="TimesNewRomanPSMT"/>
        </w:rPr>
        <w:t xml:space="preserve"> Tonight's speaker is Michael Collins, author of </w:t>
      </w:r>
      <w:r>
        <w:rPr>
          <w:rFonts w:ascii="TimesNewRomanPS-ItalicMT" w:hAnsi="TimesNewRomanPS-ItalicMT" w:cs="TimesNewRomanPS-ItalicMT"/>
          <w:i/>
          <w:iCs/>
        </w:rPr>
        <w:t>Voices of the Bulge.</w:t>
      </w:r>
      <w:r>
        <w:rPr>
          <w:rFonts w:ascii="TimesNewRomanPSMT" w:hAnsi="TimesNewRomanPSMT" w:cs="TimesNewRomanPSMT"/>
        </w:rPr>
        <w:t xml:space="preserve"> He is joined by veterans from the battle to discuss what led to the Allied victory. </w:t>
      </w:r>
    </w:p>
    <w:p w:rsidR="00000000" w:rsidRDefault="00B25A59">
      <w:pPr>
        <w:tabs>
          <w:tab w:val="left" w:pos="284"/>
        </w:tabs>
        <w:rPr>
          <w:rFonts w:ascii="TimesNewRomanPSMT" w:hAnsi="TimesNewRomanPSMT" w:cs="TimesNewRomanPSMT"/>
          <w:sz w:val="16"/>
          <w:szCs w:val="16"/>
        </w:rPr>
      </w:pPr>
    </w:p>
    <w:p w:rsidR="00000000" w:rsidRDefault="00B25A59">
      <w:pPr>
        <w:tabs>
          <w:tab w:val="left" w:pos="284"/>
        </w:tabs>
      </w:pPr>
      <w:r>
        <w:rPr>
          <w:rFonts w:ascii="TimesNewRomanPSMT" w:hAnsi="TimesNewRomanPSMT" w:cs="TimesNewRomanPSMT"/>
        </w:rPr>
        <w:t>Grand battlefield analysis is useful, but nothing makes real the actual experience of war more than hearing the first person accounts of those who lived through it. Those who play “Call of Duty” or other war games, will be attracted to the stories of the p</w:t>
      </w:r>
      <w:r>
        <w:rPr>
          <w:rFonts w:ascii="TimesNewRomanPSMT" w:hAnsi="TimesNewRomanPSMT" w:cs="TimesNewRomanPSMT"/>
        </w:rPr>
        <w:t xml:space="preserve">eople who actually lived through World War II.  This is what makes "oral history" so attractive; doing such personal interviews was a very important part Dr. Harold Deutsch's own historical methods. During his illustrious career, he interviewed the German </w:t>
      </w:r>
      <w:r>
        <w:rPr>
          <w:rFonts w:ascii="TimesNewRomanPSMT" w:hAnsi="TimesNewRomanPSMT" w:cs="TimesNewRomanPSMT"/>
        </w:rPr>
        <w:t xml:space="preserve">leaders during the 1930s and interrogated defeated German generals at Nuremberg trials. In addition, he traveled through the Ardennes days before the December 1944 German </w:t>
      </w:r>
      <w:r>
        <w:rPr>
          <w:rFonts w:ascii="TimesNewRomanPSMT" w:hAnsi="TimesNewRomanPSMT" w:cs="TimesNewRomanPSMT"/>
        </w:rPr>
        <w:t>​</w:t>
      </w:r>
      <w:r>
        <w:rPr>
          <w:rFonts w:ascii="TimesNewRomanPSMT" w:hAnsi="TimesNewRomanPSMT" w:cs="TimesNewRomanPSMT"/>
        </w:rPr>
        <w:t>offensive.</w:t>
      </w:r>
    </w:p>
    <w:p w:rsidR="00000000" w:rsidRDefault="00B25A59">
      <w:pPr>
        <w:tabs>
          <w:tab w:val="left" w:pos="284"/>
        </w:tabs>
        <w:rPr>
          <w:rFonts w:ascii="TimesNewRomanPSMT" w:hAnsi="TimesNewRomanPSMT" w:cs="TimesNewRomanPSMT"/>
          <w:sz w:val="16"/>
          <w:szCs w:val="16"/>
        </w:rPr>
      </w:pPr>
    </w:p>
    <w:p w:rsidR="00000000" w:rsidRDefault="00B25A59">
      <w:pPr>
        <w:tabs>
          <w:tab w:val="left" w:pos="284"/>
        </w:tabs>
      </w:pPr>
      <w:r>
        <w:rPr>
          <w:rFonts w:ascii="TimesNewRomanPSMT" w:hAnsi="TimesNewRomanPSMT" w:cs="TimesNewRomanPSMT"/>
        </w:rPr>
        <w:t xml:space="preserve">The idea of a German offensive in the West came to Hitler </w:t>
      </w:r>
      <w:r>
        <w:rPr>
          <w:rFonts w:ascii="TimesNewRomanPSMT" w:hAnsi="TimesNewRomanPSMT" w:cs="TimesNewRomanPSMT"/>
        </w:rPr>
        <w:t xml:space="preserve">in September of 1944.  His goal of seizing Antwerp would deny the Allies a vital logistical link, and might be grounds for a brokered peace.  The Germans realized a successful campaign depended upon four things: surprise, poor weather, rapid progress, and </w:t>
      </w:r>
      <w:r>
        <w:rPr>
          <w:rFonts w:ascii="TimesNewRomanPSMT" w:hAnsi="TimesNewRomanPSMT" w:cs="TimesNewRomanPSMT"/>
        </w:rPr>
        <w:t>the capture of intact Allied fuel supplies to refuel the</w:t>
      </w:r>
      <w:r>
        <w:rPr>
          <w:rFonts w:ascii="TimesNewRomanPSMT" w:hAnsi="TimesNewRomanPSMT" w:cs="TimesNewRomanPSMT"/>
        </w:rPr>
        <w:t>​</w:t>
      </w:r>
      <w:r>
        <w:rPr>
          <w:rFonts w:ascii="TimesNewRomanPSMT" w:hAnsi="TimesNewRomanPSMT" w:cs="TimesNewRomanPSMT"/>
        </w:rPr>
        <w:t xml:space="preserve"> </w:t>
      </w:r>
      <w:r>
        <w:rPr>
          <w:rFonts w:ascii="TimesNewRomanPS-ItalicMT" w:hAnsi="TimesNewRomanPS-ItalicMT" w:cs="TimesNewRomanPS-ItalicMT"/>
          <w:i/>
          <w:iCs/>
        </w:rPr>
        <w:t>Wehrmacht.</w:t>
      </w:r>
    </w:p>
    <w:p w:rsidR="00000000" w:rsidRDefault="00B25A59">
      <w:pPr>
        <w:tabs>
          <w:tab w:val="left" w:pos="284"/>
        </w:tabs>
        <w:rPr>
          <w:rFonts w:ascii="TimesNewRomanPSMT" w:hAnsi="TimesNewRomanPSMT" w:cs="TimesNewRomanPSMT"/>
          <w:sz w:val="16"/>
          <w:szCs w:val="16"/>
        </w:rPr>
      </w:pPr>
    </w:p>
    <w:p w:rsidR="00000000" w:rsidRDefault="00B25A59">
      <w:pPr>
        <w:tabs>
          <w:tab w:val="left" w:pos="284"/>
        </w:tabs>
      </w:pPr>
      <w:r>
        <w:rPr>
          <w:rFonts w:ascii="TimesNewRomanPSMT" w:hAnsi="TimesNewRomanPSMT" w:cs="TimesNewRomanPSMT"/>
        </w:rPr>
        <w:tab/>
        <w:t xml:space="preserve">Since the Normandy landings and breakout in the summer and fall of 1944, the Allies had pushed the </w:t>
      </w:r>
      <w:r>
        <w:rPr>
          <w:rFonts w:ascii="TimesNewRomanPS-ItalicMT" w:hAnsi="TimesNewRomanPS-ItalicMT" w:cs="TimesNewRomanPS-ItalicMT"/>
          <w:i/>
          <w:iCs/>
        </w:rPr>
        <w:t>Wehrmacht</w:t>
      </w:r>
      <w:r>
        <w:rPr>
          <w:rFonts w:ascii="TimesNewRomanPSMT" w:hAnsi="TimesNewRomanPSMT" w:cs="TimesNewRomanPSMT"/>
        </w:rPr>
        <w:t xml:space="preserve"> out of France and into Belgium. To hinder German operations, Allied bombers </w:t>
      </w:r>
      <w:r>
        <w:rPr>
          <w:rFonts w:ascii="TimesNewRomanPSMT" w:hAnsi="TimesNewRomanPSMT" w:cs="TimesNewRomanPSMT"/>
        </w:rPr>
        <w:t xml:space="preserve">destroyed the rail links and roads of the German supply network. This destruction also hindered the Allied advance, particularly the movement of gasoline, and the “Red Ball Express” could only move fuel so far before it consumed all it carried. In October </w:t>
      </w:r>
      <w:r>
        <w:rPr>
          <w:rFonts w:ascii="TimesNewRomanPSMT" w:hAnsi="TimesNewRomanPSMT" w:cs="TimesNewRomanPSMT"/>
        </w:rPr>
        <w:t>1944, the Allied offensive ground to a halt because of fuel shortages. The densely forested Ardennes area, between Wallonia in Belgium, Luxembourg, and France, was thought to be a quiet sector suitable for the inexperienced US 106</w:t>
      </w:r>
      <w:r>
        <w:rPr>
          <w:rFonts w:ascii="TimesNewRomanPSMT" w:hAnsi="TimesNewRomanPSMT" w:cs="TimesNewRomanPSMT"/>
          <w:vertAlign w:val="superscript"/>
        </w:rPr>
        <w:t xml:space="preserve">th  </w:t>
      </w:r>
      <w:r>
        <w:rPr>
          <w:rFonts w:ascii="TimesNewRomanPSMT" w:hAnsi="TimesNewRomanPSMT" w:cs="TimesNewRomanPSMT"/>
        </w:rPr>
        <w:t>Infantry Division, and</w:t>
      </w:r>
      <w:r>
        <w:rPr>
          <w:rFonts w:ascii="TimesNewRomanPSMT" w:hAnsi="TimesNewRomanPSMT" w:cs="TimesNewRomanPSMT"/>
        </w:rPr>
        <w:t xml:space="preserve"> a rest area for battle weary troops like the 28</w:t>
      </w:r>
      <w:r>
        <w:rPr>
          <w:rFonts w:ascii="TimesNewRomanPSMT" w:hAnsi="TimesNewRomanPSMT" w:cs="TimesNewRomanPSMT"/>
          <w:vertAlign w:val="superscript"/>
        </w:rPr>
        <w:t>th</w:t>
      </w:r>
      <w:r>
        <w:rPr>
          <w:rFonts w:ascii="TimesNewRomanPSMT" w:hAnsi="TimesNewRomanPSMT" w:cs="TimesNewRomanPSMT"/>
        </w:rPr>
        <w:t xml:space="preserve"> and 99th IDs. </w:t>
      </w:r>
    </w:p>
    <w:p w:rsidR="00000000" w:rsidRDefault="00B25A59">
      <w:pPr>
        <w:tabs>
          <w:tab w:val="left" w:pos="284"/>
        </w:tabs>
        <w:rPr>
          <w:rFonts w:ascii="TimesNewRomanPSMT" w:hAnsi="TimesNewRomanPSMT" w:cs="TimesNewRomanPSMT"/>
          <w:sz w:val="16"/>
          <w:szCs w:val="16"/>
        </w:rPr>
      </w:pPr>
    </w:p>
    <w:p w:rsidR="00000000" w:rsidRDefault="00B25A59">
      <w:pPr>
        <w:tabs>
          <w:tab w:val="left" w:pos="284"/>
        </w:tabs>
      </w:pPr>
      <w:r>
        <w:rPr>
          <w:rFonts w:ascii="TimesNewRomanPSMT" w:hAnsi="TimesNewRomanPSMT" w:cs="TimesNewRomanPSMT"/>
        </w:rPr>
        <w:tab/>
        <w:t>In early December 1944, Eisenhower met with Bradley and Montgomery to outline plans for an offensive in January 1945. To Montgomery’s dismay (and Patton’s too), Eisenhower wanted to mainta</w:t>
      </w:r>
      <w:r>
        <w:rPr>
          <w:rFonts w:ascii="TimesNewRomanPSMT" w:hAnsi="TimesNewRomanPSMT" w:cs="TimesNewRomanPSMT"/>
        </w:rPr>
        <w:t>in the broad-front strategy, pushing the Germans back all along the entire front, with some focus in the north. Allied planning assumed the Germans lacked the capability to launch a major offensive due to the catastrophic losses the Germans had suffered wi</w:t>
      </w:r>
      <w:r>
        <w:rPr>
          <w:rFonts w:ascii="TimesNewRomanPSMT" w:hAnsi="TimesNewRomanPSMT" w:cs="TimesNewRomanPSMT"/>
        </w:rPr>
        <w:t xml:space="preserve">th the destruction of Army Group Center in the Soviet </w:t>
      </w:r>
      <w:r>
        <w:rPr>
          <w:rFonts w:ascii="TimesNewRomanPS-ItalicMT" w:hAnsi="TimesNewRomanPS-ItalicMT" w:cs="TimesNewRomanPS-ItalicMT"/>
          <w:i/>
          <w:iCs/>
        </w:rPr>
        <w:t>Operation Bagration</w:t>
      </w:r>
      <w:r>
        <w:rPr>
          <w:rFonts w:ascii="TimesNewRomanPSMT" w:hAnsi="TimesNewRomanPSMT" w:cs="TimesNewRomanPSMT"/>
        </w:rPr>
        <w:t xml:space="preserve"> that summer.</w:t>
      </w:r>
    </w:p>
    <w:p w:rsidR="00000000" w:rsidRDefault="00B25A59">
      <w:pPr>
        <w:tabs>
          <w:tab w:val="left" w:pos="284"/>
        </w:tabs>
        <w:rPr>
          <w:rFonts w:ascii="TimesNewRomanPSMT" w:hAnsi="TimesNewRomanPSMT" w:cs="TimesNewRomanPSMT"/>
          <w:sz w:val="16"/>
          <w:szCs w:val="16"/>
        </w:rPr>
      </w:pPr>
    </w:p>
    <w:p w:rsidR="00000000" w:rsidRDefault="00B25A59">
      <w:pPr>
        <w:tabs>
          <w:tab w:val="left" w:pos="284"/>
        </w:tabs>
        <w:rPr>
          <w:rFonts w:ascii="TimesNewRomanPSMT" w:hAnsi="TimesNewRomanPSMT" w:cs="TimesNewRomanPSMT"/>
          <w:sz w:val="16"/>
          <w:szCs w:val="16"/>
        </w:rPr>
      </w:pPr>
      <w:r>
        <w:rPr>
          <w:rFonts w:ascii="TimesNewRomanPSMT" w:hAnsi="TimesNewRomanPSMT" w:cs="TimesNewRomanPSMT"/>
        </w:rPr>
        <w:t xml:space="preserve">While the Allies prepared for their offensive, there were indications that the Germans were up to something.  </w:t>
      </w:r>
      <w:r>
        <w:rPr>
          <w:rFonts w:ascii="TimesNewRomanPS-ItalicMT" w:hAnsi="TimesNewRomanPS-ItalicMT" w:cs="TimesNewRomanPS-ItalicMT"/>
          <w:i/>
          <w:iCs/>
        </w:rPr>
        <w:t>Ultra</w:t>
      </w:r>
      <w:r>
        <w:rPr>
          <w:rFonts w:ascii="TimesNewRomanPSMT" w:hAnsi="TimesNewRomanPSMT" w:cs="TimesNewRomanPSMT"/>
        </w:rPr>
        <w:t xml:space="preserve"> intercepts indicated that there was a buildup of amm</w:t>
      </w:r>
      <w:r>
        <w:rPr>
          <w:rFonts w:ascii="TimesNewRomanPSMT" w:hAnsi="TimesNewRomanPSMT" w:cs="TimesNewRomanPSMT"/>
        </w:rPr>
        <w:t xml:space="preserve">unition and fuel dumps across the line in the Ardennes. The Germans had the advantage of closer interior lines that reduced their problems of supply, and the effectiveness of </w:t>
      </w:r>
      <w:r>
        <w:rPr>
          <w:rFonts w:ascii="TimesNewRomanPS-ItalicMT" w:hAnsi="TimesNewRomanPS-ItalicMT" w:cs="TimesNewRomanPS-ItalicMT"/>
          <w:i/>
          <w:iCs/>
        </w:rPr>
        <w:t>Ultra</w:t>
      </w:r>
      <w:r>
        <w:rPr>
          <w:rFonts w:ascii="TimesNewRomanPSMT" w:hAnsi="TimesNewRomanPSMT" w:cs="TimesNewRomanPSMT"/>
        </w:rPr>
        <w:t xml:space="preserve"> was very limited since they could use telephone and telegraph networks that</w:t>
      </w:r>
      <w:r>
        <w:rPr>
          <w:rFonts w:ascii="TimesNewRomanPSMT" w:hAnsi="TimesNewRomanPSMT" w:cs="TimesNewRomanPSMT"/>
        </w:rPr>
        <w:t xml:space="preserve"> could not be intercepted by the Allies. They were defending their homeland and took extreme care to conceal their preparations.</w:t>
      </w:r>
      <w:r>
        <w:rPr>
          <w:rFonts w:ascii="TimesNewRomanPSMT" w:hAnsi="TimesNewRomanPSMT" w:cs="TimesNewRomanPSMT"/>
          <w:sz w:val="16"/>
          <w:szCs w:val="16"/>
        </w:rPr>
        <w:br/>
      </w:r>
    </w:p>
    <w:p w:rsidR="00000000" w:rsidRDefault="00B25A59">
      <w:pPr>
        <w:tabs>
          <w:tab w:val="left" w:pos="284"/>
        </w:tabs>
        <w:rPr>
          <w:rFonts w:ascii="TimesNewRomanPSMT" w:hAnsi="TimesNewRomanPSMT" w:cs="TimesNewRomanPSMT"/>
          <w:sz w:val="16"/>
          <w:szCs w:val="16"/>
        </w:rPr>
      </w:pPr>
      <w:r>
        <w:rPr>
          <w:rFonts w:ascii="TimesNewRomanPSMT" w:hAnsi="TimesNewRomanPSMT" w:cs="TimesNewRomanPSMT"/>
        </w:rPr>
        <w:tab/>
        <w:t xml:space="preserve">With thick cloud cover and snow obscuring the area and negating Allied air superiority, the </w:t>
      </w:r>
      <w:r>
        <w:rPr>
          <w:rFonts w:ascii="TimesNewRomanPS-ItalicMT" w:hAnsi="TimesNewRomanPS-ItalicMT" w:cs="TimesNewRomanPS-ItalicMT"/>
          <w:i/>
          <w:iCs/>
        </w:rPr>
        <w:t>Wehrmacht</w:t>
      </w:r>
      <w:r>
        <w:rPr>
          <w:rFonts w:ascii="TimesNewRomanPSMT" w:hAnsi="TimesNewRomanPSMT" w:cs="TimesNewRomanPSMT"/>
        </w:rPr>
        <w:t xml:space="preserve"> launched a three-pronge</w:t>
      </w:r>
      <w:r>
        <w:rPr>
          <w:rFonts w:ascii="TimesNewRomanPSMT" w:hAnsi="TimesNewRomanPSMT" w:cs="TimesNewRomanPSMT"/>
        </w:rPr>
        <w:t>d offensive on 16 December, along a fifty-mile front in the Ardennes between Monschau and Echternach, taking the Allies by surprise. In the north, Sepp Dietrich’s VI Panzer Army attacked and met stiff resistance from the 99</w:t>
      </w:r>
      <w:r>
        <w:rPr>
          <w:rFonts w:ascii="TimesNewRomanPSMT" w:hAnsi="TimesNewRomanPSMT" w:cs="TimesNewRomanPSMT"/>
          <w:vertAlign w:val="superscript"/>
        </w:rPr>
        <w:t>th</w:t>
      </w:r>
      <w:r>
        <w:rPr>
          <w:rFonts w:ascii="TimesNewRomanPSMT" w:hAnsi="TimesNewRomanPSMT" w:cs="TimesNewRomanPSMT"/>
        </w:rPr>
        <w:t xml:space="preserve"> and 2</w:t>
      </w:r>
      <w:r>
        <w:rPr>
          <w:rFonts w:ascii="TimesNewRomanPSMT" w:hAnsi="TimesNewRomanPSMT" w:cs="TimesNewRomanPSMT"/>
          <w:vertAlign w:val="superscript"/>
        </w:rPr>
        <w:t>nd</w:t>
      </w:r>
      <w:r>
        <w:rPr>
          <w:rFonts w:ascii="TimesNewRomanPSMT" w:hAnsi="TimesNewRomanPSMT" w:cs="TimesNewRomanPSMT"/>
        </w:rPr>
        <w:t xml:space="preserve"> IDs that held the crit</w:t>
      </w:r>
      <w:r>
        <w:rPr>
          <w:rFonts w:ascii="TimesNewRomanPSMT" w:hAnsi="TimesNewRomanPSMT" w:cs="TimesNewRomanPSMT"/>
        </w:rPr>
        <w:t>ical Monschau and Elsenborn Ridge which denied the Germans critical roads.  In the south, Brandenberger’s VII Army pushed toward Luxembourg trying to secure the flank from Allied armies. In the center, von Manteuffel’s V Panzer Army attacked toward Bastogn</w:t>
      </w:r>
      <w:r>
        <w:rPr>
          <w:rFonts w:ascii="TimesNewRomanPSMT" w:hAnsi="TimesNewRomanPSMT" w:cs="TimesNewRomanPSMT"/>
        </w:rPr>
        <w:t xml:space="preserve">e and St. Vith, both critical road junctions.  </w:t>
      </w:r>
      <w:r>
        <w:rPr>
          <w:rFonts w:ascii="TimesNewRomanPSMT" w:hAnsi="TimesNewRomanPSMT" w:cs="TimesNewRomanPSMT"/>
        </w:rPr>
        <w:br/>
      </w:r>
    </w:p>
    <w:p w:rsidR="00000000" w:rsidRDefault="00B25A59">
      <w:pPr>
        <w:tabs>
          <w:tab w:val="left" w:pos="284"/>
        </w:tabs>
      </w:pPr>
      <w:r>
        <w:rPr>
          <w:rFonts w:ascii="TimesNewRomanPSMT" w:hAnsi="TimesNewRomanPSMT" w:cs="TimesNewRomanPSMT"/>
        </w:rPr>
        <w:tab/>
        <w:t>St. Vith held out for six days before British Field Marshall Bernard Montgomery ordered a withdrawal to set up more defensive positions. Eleven hard-surfaced roads converged at Bastogne and it was imperativ</w:t>
      </w:r>
      <w:r>
        <w:rPr>
          <w:rFonts w:ascii="TimesNewRomanPSMT" w:hAnsi="TimesNewRomanPSMT" w:cs="TimesNewRomanPSMT"/>
        </w:rPr>
        <w:t>e for the advance that it be taken.  Defended by the elements of the 10</w:t>
      </w:r>
      <w:r>
        <w:rPr>
          <w:rFonts w:ascii="TimesNewRomanPSMT" w:hAnsi="TimesNewRomanPSMT" w:cs="TimesNewRomanPSMT"/>
          <w:vertAlign w:val="superscript"/>
        </w:rPr>
        <w:t>th</w:t>
      </w:r>
      <w:r>
        <w:rPr>
          <w:rFonts w:ascii="TimesNewRomanPSMT" w:hAnsi="TimesNewRomanPSMT" w:cs="TimesNewRomanPSMT"/>
        </w:rPr>
        <w:t xml:space="preserve"> Armored Division reinforced by the 101</w:t>
      </w:r>
      <w:r>
        <w:rPr>
          <w:rFonts w:ascii="TimesNewRomanPSMT" w:hAnsi="TimesNewRomanPSMT" w:cs="TimesNewRomanPSMT"/>
          <w:vertAlign w:val="superscript"/>
        </w:rPr>
        <w:t>st</w:t>
      </w:r>
      <w:r>
        <w:rPr>
          <w:rFonts w:ascii="TimesNewRomanPSMT" w:hAnsi="TimesNewRomanPSMT" w:cs="TimesNewRomanPSMT"/>
        </w:rPr>
        <w:t xml:space="preserve"> Airborne, Bastogne refused to surrender, causing serious delays in the German offensive schedule. By 21 December the Germans had Bastogne sur</w:t>
      </w:r>
      <w:r>
        <w:rPr>
          <w:rFonts w:ascii="TimesNewRomanPSMT" w:hAnsi="TimesNewRomanPSMT" w:cs="TimesNewRomanPSMT"/>
        </w:rPr>
        <w:t xml:space="preserve">rounded; they demand surrender from BG Anthony McAuliffe (101st’s </w:t>
      </w:r>
      <w:r>
        <w:rPr>
          <w:rFonts w:ascii="TimesNewRomanPS-ItalicMT" w:hAnsi="TimesNewRomanPS-ItalicMT" w:cs="TimesNewRomanPS-ItalicMT"/>
          <w:i/>
          <w:iCs/>
        </w:rPr>
        <w:t>Artillery</w:t>
      </w:r>
      <w:r>
        <w:rPr>
          <w:rFonts w:ascii="TimesNewRomanPSMT" w:hAnsi="TimesNewRomanPSMT" w:cs="TimesNewRomanPSMT"/>
        </w:rPr>
        <w:t xml:space="preserve"> </w:t>
      </w:r>
      <w:r>
        <w:rPr>
          <w:rFonts w:ascii="TimesNewRomanPSMT" w:hAnsi="TimesNewRomanPSMT" w:cs="TimesNewRomanPSMT"/>
        </w:rPr>
        <w:lastRenderedPageBreak/>
        <w:t>commander) the acting commander of the 101</w:t>
      </w:r>
      <w:r>
        <w:rPr>
          <w:rFonts w:ascii="TimesNewRomanPSMT" w:hAnsi="TimesNewRomanPSMT" w:cs="TimesNewRomanPSMT"/>
          <w:vertAlign w:val="superscript"/>
        </w:rPr>
        <w:t>st</w:t>
      </w:r>
      <w:r>
        <w:rPr>
          <w:rFonts w:ascii="TimesNewRomanPSMT" w:hAnsi="TimesNewRomanPSMT" w:cs="TimesNewRomanPSMT"/>
        </w:rPr>
        <w:t xml:space="preserve"> Airborne. He refused, uttering the memorable and (to the Germans) confusing reply: “NUTS!” The encircled force was finally relieved by </w:t>
      </w:r>
      <w:r>
        <w:rPr>
          <w:rFonts w:ascii="TimesNewRomanPSMT" w:hAnsi="TimesNewRomanPSMT" w:cs="TimesNewRomanPSMT"/>
        </w:rPr>
        <w:t>Patton’s 4</w:t>
      </w:r>
      <w:r>
        <w:rPr>
          <w:rFonts w:ascii="TimesNewRomanPSMT" w:hAnsi="TimesNewRomanPSMT" w:cs="TimesNewRomanPSMT"/>
          <w:vertAlign w:val="superscript"/>
        </w:rPr>
        <w:t>th</w:t>
      </w:r>
      <w:r>
        <w:rPr>
          <w:rFonts w:ascii="TimesNewRomanPSMT" w:hAnsi="TimesNewRomanPSMT" w:cs="TimesNewRomanPSMT"/>
        </w:rPr>
        <w:t xml:space="preserve"> Armored Division on 26 December. By mid-January 1945, the Germans were pushed back to where they had started the offensive, with the loss of 100,000 men, severely crippling their military capabilities.  For the Americans, the Battle of the Bul</w:t>
      </w:r>
      <w:r>
        <w:rPr>
          <w:rFonts w:ascii="TimesNewRomanPSMT" w:hAnsi="TimesNewRomanPSMT" w:cs="TimesNewRomanPSMT"/>
        </w:rPr>
        <w:t xml:space="preserve">ge was the bloodiest battle of World War II, with over 100,000 casualties.  </w:t>
      </w:r>
    </w:p>
    <w:p w:rsidR="00000000" w:rsidRDefault="00B25A59">
      <w:pPr>
        <w:tabs>
          <w:tab w:val="left" w:pos="284"/>
        </w:tabs>
        <w:rPr>
          <w:rFonts w:ascii="TimesNewRomanPSMT" w:hAnsi="TimesNewRomanPSMT" w:cs="TimesNewRomanPSMT"/>
          <w:sz w:val="16"/>
          <w:szCs w:val="16"/>
        </w:rPr>
      </w:pPr>
    </w:p>
    <w:p w:rsidR="00000000" w:rsidRDefault="00B25A59">
      <w:pPr>
        <w:tabs>
          <w:tab w:val="left" w:pos="284"/>
        </w:tabs>
      </w:pPr>
      <w:r>
        <w:rPr>
          <w:rFonts w:ascii="TimesNewRomanPSMT" w:hAnsi="TimesNewRomanPSMT" w:cs="TimesNewRomanPSMT"/>
        </w:rPr>
        <w:t>By transferring the last effective Panzer units to fight and be defeated in the Bulge, Hitler recklessly left the Eastern Front even less able to respond to the massive Soviet of</w:t>
      </w:r>
      <w:r>
        <w:rPr>
          <w:rFonts w:ascii="TimesNewRomanPSMT" w:hAnsi="TimesNewRomanPSMT" w:cs="TimesNewRomanPSMT"/>
        </w:rPr>
        <w:t xml:space="preserve">fensive driving towards the Reich.  Thus, the entire offensive was a strategic mistake, for even a victory for the Germans would have done nothing to stop the Russian onslaught which would soon be driving on Berlin. </w:t>
      </w:r>
    </w:p>
    <w:p w:rsidR="00000000" w:rsidRDefault="00B25A59">
      <w:pPr>
        <w:tabs>
          <w:tab w:val="left" w:pos="284"/>
        </w:tabs>
        <w:rPr>
          <w:rFonts w:ascii="TimesNewRomanPSMT" w:hAnsi="TimesNewRomanPSMT" w:cs="TimesNewRomanPSMT"/>
          <w:sz w:val="16"/>
          <w:szCs w:val="16"/>
        </w:rPr>
      </w:pPr>
    </w:p>
    <w:p w:rsidR="00000000" w:rsidRDefault="00B25A59">
      <w:r>
        <w:rPr>
          <w:rFonts w:ascii="TimesNewRomanPS-BoldMT" w:hAnsi="TimesNewRomanPS-BoldMT" w:cs="TimesNewRomanPS-BoldMT"/>
          <w:b/>
          <w:bCs/>
        </w:rPr>
        <w:t>FURTHER READINGS</w:t>
      </w:r>
      <w:r>
        <w:rPr>
          <w:rFonts w:ascii="TimesNewRomanPSMT" w:hAnsi="TimesNewRomanPSMT" w:cs="TimesNewRomanPSMT"/>
        </w:rPr>
        <w:t xml:space="preserve">: </w:t>
      </w:r>
    </w:p>
    <w:p w:rsidR="00000000" w:rsidRDefault="00B25A59">
      <w:pPr>
        <w:widowControl w:val="0"/>
        <w:rPr>
          <w:sz w:val="20"/>
          <w:szCs w:val="20"/>
        </w:rPr>
      </w:pPr>
      <w:r>
        <w:rPr>
          <w:sz w:val="20"/>
          <w:szCs w:val="20"/>
        </w:rPr>
        <w:t>Martin Collins &amp; Ma</w:t>
      </w:r>
      <w:r>
        <w:rPr>
          <w:sz w:val="20"/>
          <w:szCs w:val="20"/>
        </w:rPr>
        <w:t>rtin King,</w:t>
      </w:r>
      <w:r>
        <w:rPr>
          <w:rFonts w:ascii="AmazonEmber-Regular" w:hAnsi="AmazonEmber-Regular" w:cs="AmazonEmber-Regular"/>
          <w:color w:val="0E0E0E"/>
          <w:sz w:val="20"/>
          <w:szCs w:val="20"/>
        </w:rPr>
        <w:t xml:space="preserve"> </w:t>
      </w:r>
      <w:r>
        <w:rPr>
          <w:rFonts w:ascii="AmazonEmber-Regular" w:hAnsi="AmazonEmber-Regular" w:cs="AmazonEmber-Regular"/>
          <w:i/>
          <w:iCs/>
          <w:color w:val="0E0E0E"/>
          <w:sz w:val="20"/>
          <w:szCs w:val="20"/>
        </w:rPr>
        <w:t>The Tigers of Bastogne: Voices of the 10th Armored Division in the Battle of the Bulge.</w:t>
      </w:r>
      <w:r>
        <w:rPr>
          <w:rFonts w:ascii="AmazonEmber-Regular" w:hAnsi="AmazonEmber-Regular" w:cs="AmazonEmber-Regular"/>
          <w:color w:val="0E0E0E"/>
          <w:sz w:val="20"/>
          <w:szCs w:val="20"/>
        </w:rPr>
        <w:t xml:space="preserve"> (Casenatem 2013). </w:t>
      </w:r>
    </w:p>
    <w:p w:rsidR="00000000" w:rsidRDefault="00B25A59">
      <w:pPr>
        <w:widowControl w:val="0"/>
        <w:rPr>
          <w:sz w:val="20"/>
          <w:szCs w:val="20"/>
        </w:rPr>
      </w:pPr>
      <w:r>
        <w:rPr>
          <w:sz w:val="20"/>
          <w:szCs w:val="20"/>
        </w:rPr>
        <w:t xml:space="preserve">Martin Collins &amp; Martin King, </w:t>
      </w:r>
      <w:r>
        <w:rPr>
          <w:rFonts w:ascii="Times-Italic" w:hAnsi="Times-Italic" w:cs="Times-Italic"/>
          <w:i/>
          <w:iCs/>
          <w:sz w:val="20"/>
          <w:szCs w:val="20"/>
        </w:rPr>
        <w:t>Voices of the Bulge</w:t>
      </w:r>
      <w:r>
        <w:rPr>
          <w:sz w:val="20"/>
          <w:szCs w:val="20"/>
        </w:rPr>
        <w:t xml:space="preserve"> (Minneapolis, MN: Zenith Press, 2011).</w:t>
      </w:r>
    </w:p>
    <w:p w:rsidR="00000000" w:rsidRDefault="00B25A59">
      <w:pPr>
        <w:widowControl w:val="0"/>
        <w:rPr>
          <w:sz w:val="20"/>
          <w:szCs w:val="20"/>
        </w:rPr>
      </w:pPr>
      <w:r>
        <w:rPr>
          <w:sz w:val="20"/>
          <w:szCs w:val="20"/>
        </w:rPr>
        <w:t xml:space="preserve">Charles McDonald, </w:t>
      </w:r>
      <w:r>
        <w:rPr>
          <w:rFonts w:ascii="Times-Italic" w:hAnsi="Times-Italic" w:cs="Times-Italic"/>
          <w:i/>
          <w:iCs/>
          <w:sz w:val="20"/>
          <w:szCs w:val="20"/>
        </w:rPr>
        <w:t>A Time for Trumpets</w:t>
      </w:r>
      <w:r>
        <w:rPr>
          <w:sz w:val="20"/>
          <w:szCs w:val="20"/>
        </w:rPr>
        <w:t xml:space="preserve"> (New York: Harper Collins, 1997).</w:t>
      </w:r>
    </w:p>
    <w:p w:rsidR="00000000" w:rsidRDefault="00B25A59">
      <w:pPr>
        <w:widowControl w:val="0"/>
        <w:rPr>
          <w:sz w:val="20"/>
          <w:szCs w:val="20"/>
        </w:rPr>
      </w:pPr>
      <w:r>
        <w:rPr>
          <w:sz w:val="20"/>
          <w:szCs w:val="20"/>
        </w:rPr>
        <w:t xml:space="preserve">Gerald Astor, </w:t>
      </w:r>
      <w:r>
        <w:rPr>
          <w:rFonts w:ascii="Times-Italic" w:hAnsi="Times-Italic" w:cs="Times-Italic"/>
          <w:i/>
          <w:iCs/>
          <w:sz w:val="20"/>
          <w:szCs w:val="20"/>
        </w:rPr>
        <w:t>Blood Dimmed Tide</w:t>
      </w:r>
      <w:r>
        <w:rPr>
          <w:sz w:val="20"/>
          <w:szCs w:val="20"/>
        </w:rPr>
        <w:t xml:space="preserve"> (New York: Dutton, 1992).</w:t>
      </w:r>
    </w:p>
    <w:p w:rsidR="00000000" w:rsidRDefault="00B25A59">
      <w:pPr>
        <w:rPr>
          <w:sz w:val="20"/>
          <w:szCs w:val="20"/>
        </w:rPr>
      </w:pPr>
      <w:r>
        <w:rPr>
          <w:rFonts w:ascii="TimesNewRomanPSMT" w:hAnsi="TimesNewRomanPSMT" w:cs="TimesNewRomanPSMT"/>
          <w:sz w:val="20"/>
          <w:szCs w:val="20"/>
        </w:rPr>
        <w:t xml:space="preserve">Harold R. Winton, </w:t>
      </w:r>
      <w:r>
        <w:rPr>
          <w:rFonts w:ascii="TimesNewRomanPS-ItalicMT" w:hAnsi="TimesNewRomanPS-ItalicMT" w:cs="TimesNewRomanPS-ItalicMT"/>
          <w:i/>
          <w:iCs/>
          <w:sz w:val="20"/>
          <w:szCs w:val="20"/>
        </w:rPr>
        <w:t>Corps Commanders of the Bulge</w:t>
      </w:r>
      <w:r>
        <w:rPr>
          <w:rFonts w:ascii="TimesNewRomanPSMT" w:hAnsi="TimesNewRomanPSMT" w:cs="TimesNewRomanPSMT"/>
          <w:sz w:val="20"/>
          <w:szCs w:val="20"/>
        </w:rPr>
        <w:t xml:space="preserve"> (Lawrence, KS: University Press of Kansas, 2007).</w:t>
      </w:r>
    </w:p>
    <w:p w:rsidR="00000000" w:rsidRDefault="00B25A59">
      <w:pPr>
        <w:rPr>
          <w:sz w:val="20"/>
          <w:szCs w:val="20"/>
        </w:rPr>
      </w:pPr>
      <w:r>
        <w:rPr>
          <w:rFonts w:ascii="TimesNewRomanPSMT" w:hAnsi="TimesNewRomanPSMT" w:cs="TimesNewRomanPSMT"/>
          <w:sz w:val="20"/>
          <w:szCs w:val="20"/>
        </w:rPr>
        <w:t xml:space="preserve">Anthony Beevor, </w:t>
      </w:r>
      <w:r>
        <w:rPr>
          <w:rFonts w:ascii="TimesNewRomanPS-ItalicMT" w:hAnsi="TimesNewRomanPS-ItalicMT" w:cs="TimesNewRomanPS-ItalicMT"/>
          <w:i/>
          <w:iCs/>
          <w:sz w:val="20"/>
          <w:szCs w:val="20"/>
        </w:rPr>
        <w:t>Ardennes – 1944</w:t>
      </w:r>
      <w:r>
        <w:rPr>
          <w:rFonts w:ascii="TimesNewRomanPSMT" w:hAnsi="TimesNewRomanPSMT" w:cs="TimesNewRomanPSMT"/>
          <w:sz w:val="20"/>
          <w:szCs w:val="20"/>
        </w:rPr>
        <w:t xml:space="preserve"> (New York: Viking Press, 2015).</w:t>
      </w:r>
    </w:p>
    <w:p w:rsidR="00000000" w:rsidRDefault="00B25A59">
      <w:pPr>
        <w:rPr>
          <w:sz w:val="20"/>
          <w:szCs w:val="20"/>
        </w:rPr>
      </w:pPr>
      <w:r>
        <w:rPr>
          <w:rFonts w:ascii="TimesNewRomanPSMT" w:hAnsi="TimesNewRomanPSMT" w:cs="TimesNewRomanPSMT"/>
          <w:sz w:val="20"/>
          <w:szCs w:val="20"/>
        </w:rPr>
        <w:t>J</w:t>
      </w:r>
      <w:r>
        <w:rPr>
          <w:rFonts w:ascii="TimesNewRomanPSMT" w:hAnsi="TimesNewRomanPSMT" w:cs="TimesNewRomanPSMT"/>
          <w:sz w:val="20"/>
          <w:szCs w:val="20"/>
        </w:rPr>
        <w:t xml:space="preserve">ohn S. D. Eisenhower, Bitter Woods (Cambridge, MA: Da Capo Press, 1995). </w:t>
      </w:r>
    </w:p>
    <w:p w:rsidR="00000000" w:rsidRDefault="00B25A59">
      <w:pPr>
        <w:rPr>
          <w:sz w:val="20"/>
          <w:szCs w:val="20"/>
        </w:rPr>
      </w:pPr>
      <w:r>
        <w:rPr>
          <w:rFonts w:ascii="TimesNewRomanPSMT" w:hAnsi="TimesNewRomanPSMT" w:cs="TimesNewRomanPSMT"/>
          <w:sz w:val="20"/>
          <w:szCs w:val="20"/>
        </w:rPr>
        <w:t xml:space="preserve">Peter Caddick-Adams, </w:t>
      </w:r>
      <w:r>
        <w:rPr>
          <w:rFonts w:ascii="TimesNewRomanPS-ItalicMT" w:hAnsi="TimesNewRomanPS-ItalicMT" w:cs="TimesNewRomanPS-ItalicMT"/>
          <w:i/>
          <w:iCs/>
          <w:sz w:val="20"/>
          <w:szCs w:val="20"/>
        </w:rPr>
        <w:t>Snow and Steel</w:t>
      </w:r>
      <w:r>
        <w:rPr>
          <w:rFonts w:ascii="TimesNewRomanPSMT" w:hAnsi="TimesNewRomanPSMT" w:cs="TimesNewRomanPSMT"/>
          <w:sz w:val="20"/>
          <w:szCs w:val="20"/>
        </w:rPr>
        <w:t xml:space="preserve"> (New York: Oxford University Press, 2014).</w:t>
      </w:r>
    </w:p>
    <w:p w:rsidR="00000000" w:rsidRDefault="00B25A59">
      <w:pPr>
        <w:widowControl w:val="0"/>
        <w:tabs>
          <w:tab w:val="left" w:pos="212"/>
        </w:tabs>
        <w:rPr>
          <w:sz w:val="14"/>
          <w:szCs w:val="14"/>
        </w:rPr>
      </w:pPr>
    </w:p>
    <w:p w:rsidR="00000000" w:rsidRDefault="00B25A59">
      <w:pPr>
        <w:pStyle w:val="DefaultStyle"/>
        <w:widowControl w:val="0"/>
      </w:pPr>
      <w:r>
        <w:rPr>
          <w:rFonts w:ascii="TimesNewRomanPS-BoldMT" w:hAnsi="TimesNewRomanPS-BoldMT" w:cs="TimesNewRomanPS-BoldMT"/>
          <w:b/>
          <w:bCs/>
        </w:rPr>
        <w:t>Announcements:</w:t>
      </w:r>
    </w:p>
    <w:p w:rsidR="00000000" w:rsidRDefault="00B25A59">
      <w:pPr>
        <w:widowControl w:val="0"/>
        <w:rPr>
          <w:sz w:val="22"/>
          <w:szCs w:val="22"/>
        </w:rPr>
      </w:pPr>
      <w:r>
        <w:rPr>
          <w:sz w:val="22"/>
          <w:szCs w:val="22"/>
        </w:rPr>
        <w:t>Twin Cities Civil War Round Table -</w:t>
      </w:r>
    </w:p>
    <w:p w:rsidR="00000000" w:rsidRDefault="00B25A59">
      <w:pPr>
        <w:widowControl w:val="0"/>
        <w:rPr>
          <w:sz w:val="22"/>
          <w:szCs w:val="22"/>
        </w:rPr>
      </w:pPr>
      <w:r>
        <w:rPr>
          <w:sz w:val="22"/>
          <w:szCs w:val="22"/>
        </w:rPr>
        <w:t xml:space="preserve">19 Dec. 2017 – </w:t>
      </w:r>
      <w:r>
        <w:rPr>
          <w:rFonts w:ascii="Times-Italic" w:hAnsi="Times-Italic" w:cs="Times-Italic"/>
          <w:i/>
          <w:iCs/>
          <w:sz w:val="22"/>
          <w:szCs w:val="22"/>
        </w:rPr>
        <w:t>Infamous Dakota War Trials 1862</w:t>
      </w:r>
      <w:r>
        <w:rPr>
          <w:sz w:val="22"/>
          <w:szCs w:val="22"/>
        </w:rPr>
        <w:t xml:space="preserve">- </w:t>
      </w:r>
      <w:r>
        <w:rPr>
          <w:color w:val="0050B1"/>
          <w:sz w:val="22"/>
          <w:szCs w:val="22"/>
        </w:rPr>
        <w:t xml:space="preserve">www.tccwrt.com </w:t>
      </w:r>
      <w:r>
        <w:rPr>
          <w:sz w:val="22"/>
          <w:szCs w:val="22"/>
        </w:rPr>
        <w:t>- info@tccwrt.com</w:t>
      </w:r>
    </w:p>
    <w:p w:rsidR="00000000" w:rsidRDefault="00B25A59">
      <w:pPr>
        <w:widowControl w:val="0"/>
      </w:pPr>
      <w:r>
        <w:rPr>
          <w:sz w:val="22"/>
          <w:szCs w:val="22"/>
        </w:rPr>
        <w:t>St. Croix Valley Civil War Round Table - 22 Jan. 2018 –</w:t>
      </w:r>
      <w:r>
        <w:rPr>
          <w:rFonts w:ascii="Times-Italic" w:hAnsi="Times-Italic" w:cs="Times-Italic"/>
          <w:i/>
          <w:iCs/>
          <w:sz w:val="22"/>
          <w:szCs w:val="22"/>
        </w:rPr>
        <w:t xml:space="preserve"> Two Families in the Civil War </w:t>
      </w:r>
      <w:r>
        <w:rPr>
          <w:sz w:val="22"/>
          <w:szCs w:val="22"/>
        </w:rPr>
        <w:t xml:space="preserve">- 715-386-1268 - </w:t>
      </w:r>
      <w:r>
        <w:rPr>
          <w:color w:val="0000FF"/>
          <w:sz w:val="22"/>
          <w:szCs w:val="22"/>
        </w:rPr>
        <w:t>rossandhaines@comcast.net</w:t>
      </w:r>
    </w:p>
    <w:p w:rsidR="00000000" w:rsidRDefault="00B25A59">
      <w:pPr>
        <w:pStyle w:val="DefaultStyle"/>
        <w:tabs>
          <w:tab w:val="left" w:pos="270"/>
        </w:tabs>
        <w:rPr>
          <w:sz w:val="20"/>
          <w:szCs w:val="20"/>
        </w:rPr>
      </w:pPr>
      <w:r>
        <w:rPr>
          <w:sz w:val="20"/>
          <w:szCs w:val="20"/>
        </w:rPr>
        <w:t>Fort Snelling Civil War Symposium - 7 Apr. 2018 - info@tccwrt.com</w:t>
      </w:r>
    </w:p>
    <w:p w:rsidR="00000000" w:rsidRDefault="00B25A59">
      <w:pPr>
        <w:pStyle w:val="DefaultStyle"/>
        <w:tabs>
          <w:tab w:val="left" w:pos="270"/>
        </w:tabs>
        <w:rPr>
          <w:sz w:val="20"/>
          <w:szCs w:val="20"/>
        </w:rPr>
      </w:pPr>
      <w:r>
        <w:rPr>
          <w:sz w:val="20"/>
          <w:szCs w:val="20"/>
        </w:rPr>
        <w:t>Minnesota Military Museum, C</w:t>
      </w:r>
      <w:r>
        <w:rPr>
          <w:sz w:val="20"/>
          <w:szCs w:val="20"/>
        </w:rPr>
        <w:t xml:space="preserve">amp Ripley, 15000 Hwy 115, Little Falls, MN 56345, 320-616-6050, </w:t>
      </w:r>
      <w:hyperlink r:id="rId7" w:history="1">
        <w:r>
          <w:rPr>
            <w:rStyle w:val="Hyperlink"/>
            <w:sz w:val="20"/>
            <w:szCs w:val="20"/>
          </w:rPr>
          <w:t>http://www.mnmilitarymuseum.org/</w:t>
        </w:r>
      </w:hyperlink>
      <w:r>
        <w:rPr>
          <w:sz w:val="20"/>
          <w:szCs w:val="20"/>
        </w:rPr>
        <w:t xml:space="preserve"> </w:t>
      </w:r>
    </w:p>
    <w:p w:rsidR="00000000" w:rsidRDefault="00B25A59">
      <w:pPr>
        <w:pStyle w:val="DefaultStyle"/>
        <w:widowControl w:val="0"/>
        <w:tabs>
          <w:tab w:val="left" w:pos="270"/>
        </w:tabs>
        <w:rPr>
          <w:sz w:val="20"/>
          <w:szCs w:val="20"/>
        </w:rPr>
      </w:pPr>
      <w:r>
        <w:rPr>
          <w:sz w:val="20"/>
          <w:szCs w:val="20"/>
        </w:rPr>
        <w:t>Minnesota Air Guard Museum</w:t>
      </w:r>
      <w:r>
        <w:rPr>
          <w:sz w:val="20"/>
          <w:szCs w:val="20"/>
        </w:rPr>
        <w:t> </w:t>
      </w:r>
      <w:r>
        <w:rPr>
          <w:sz w:val="20"/>
          <w:szCs w:val="20"/>
        </w:rPr>
        <w:t xml:space="preserve"> - </w:t>
      </w:r>
      <w:hyperlink r:id="rId8" w:history="1">
        <w:r>
          <w:rPr>
            <w:rStyle w:val="Hyperlink"/>
            <w:color w:val="0040A0"/>
            <w:sz w:val="20"/>
            <w:szCs w:val="20"/>
          </w:rPr>
          <w:t>www.mnangmuseum.org</w:t>
        </w:r>
      </w:hyperlink>
      <w:r>
        <w:rPr>
          <w:sz w:val="20"/>
          <w:szCs w:val="20"/>
        </w:rPr>
        <w:t> </w:t>
      </w:r>
      <w:r>
        <w:rPr>
          <w:sz w:val="20"/>
          <w:szCs w:val="20"/>
        </w:rPr>
        <w:t xml:space="preserve"> 612-713-2523</w:t>
      </w:r>
    </w:p>
    <w:p w:rsidR="00000000" w:rsidRDefault="00B25A59">
      <w:pPr>
        <w:pStyle w:val="DefaultStyle"/>
        <w:widowControl w:val="0"/>
        <w:tabs>
          <w:tab w:val="left" w:pos="270"/>
        </w:tabs>
        <w:rPr>
          <w:sz w:val="18"/>
          <w:szCs w:val="18"/>
        </w:rPr>
      </w:pPr>
      <w:r>
        <w:rPr>
          <w:sz w:val="20"/>
          <w:szCs w:val="20"/>
        </w:rPr>
        <w:t>Frie</w:t>
      </w:r>
      <w:r>
        <w:rPr>
          <w:sz w:val="20"/>
          <w:szCs w:val="20"/>
        </w:rPr>
        <w:t xml:space="preserve">nds of Ft. Snelling, </w:t>
      </w:r>
      <w:hyperlink r:id="rId9" w:history="1">
        <w:r>
          <w:rPr>
            <w:rStyle w:val="Hyperlink"/>
            <w:sz w:val="20"/>
            <w:szCs w:val="20"/>
          </w:rPr>
          <w:t>www.fortsnelling.org</w:t>
        </w:r>
      </w:hyperlink>
    </w:p>
    <w:p w:rsidR="00000000" w:rsidRDefault="00B25A59">
      <w:pPr>
        <w:pStyle w:val="DefaultStyle"/>
        <w:tabs>
          <w:tab w:val="left" w:pos="270"/>
        </w:tabs>
        <w:rPr>
          <w:sz w:val="20"/>
          <w:szCs w:val="20"/>
        </w:rPr>
      </w:pPr>
      <w:r>
        <w:rPr>
          <w:sz w:val="20"/>
          <w:szCs w:val="20"/>
        </w:rPr>
        <w:t xml:space="preserve">World Without Genocide, 651-695-7621, </w:t>
      </w:r>
      <w:hyperlink r:id="rId10" w:history="1">
        <w:r>
          <w:rPr>
            <w:rStyle w:val="Hyperlink"/>
            <w:sz w:val="20"/>
            <w:szCs w:val="20"/>
          </w:rPr>
          <w:t>http://www.worldwithoutgenocide.org/</w:t>
        </w:r>
      </w:hyperlink>
    </w:p>
    <w:p w:rsidR="00000000" w:rsidRDefault="00B25A59">
      <w:pPr>
        <w:pStyle w:val="DefaultStyle"/>
        <w:tabs>
          <w:tab w:val="left" w:pos="270"/>
        </w:tabs>
        <w:rPr>
          <w:sz w:val="20"/>
          <w:szCs w:val="20"/>
        </w:rPr>
      </w:pPr>
      <w:r>
        <w:rPr>
          <w:sz w:val="20"/>
          <w:szCs w:val="20"/>
        </w:rPr>
        <w:t>Fagen Fighters WWII Museum, Granite Falls, MN,</w:t>
      </w:r>
      <w:r>
        <w:rPr>
          <w:sz w:val="20"/>
          <w:szCs w:val="20"/>
        </w:rPr>
        <w:t xml:space="preserve"> 320-564-6644, Air show - 16 June 2018.  </w:t>
      </w:r>
      <w:hyperlink r:id="rId11" w:history="1">
        <w:r>
          <w:rPr>
            <w:rStyle w:val="Hyperlink"/>
            <w:sz w:val="20"/>
            <w:szCs w:val="20"/>
          </w:rPr>
          <w:t>http://www.fagenfighterswwiimuseum.org</w:t>
        </w:r>
      </w:hyperlink>
      <w:r>
        <w:rPr>
          <w:sz w:val="20"/>
          <w:szCs w:val="20"/>
        </w:rPr>
        <w:t>.</w:t>
      </w:r>
    </w:p>
    <w:p w:rsidR="00000000" w:rsidRDefault="00B25A59">
      <w:pPr>
        <w:pStyle w:val="DefaultStyle"/>
        <w:widowControl w:val="0"/>
        <w:rPr>
          <w:sz w:val="20"/>
          <w:szCs w:val="20"/>
        </w:rPr>
      </w:pPr>
      <w:r>
        <w:rPr>
          <w:sz w:val="20"/>
          <w:szCs w:val="20"/>
        </w:rPr>
        <w:t>Airshow -</w:t>
      </w:r>
      <w:r>
        <w:rPr>
          <w:sz w:val="20"/>
          <w:szCs w:val="20"/>
        </w:rPr>
        <w:t> </w:t>
      </w:r>
      <w:r>
        <w:rPr>
          <w:sz w:val="20"/>
          <w:szCs w:val="20"/>
        </w:rPr>
        <w:t>Eden Prairie</w:t>
      </w:r>
      <w:r>
        <w:rPr>
          <w:sz w:val="20"/>
          <w:szCs w:val="20"/>
        </w:rPr>
        <w:t> </w:t>
      </w:r>
      <w:r>
        <w:rPr>
          <w:sz w:val="20"/>
          <w:szCs w:val="20"/>
        </w:rPr>
        <w:t>- 14-15 July 2018</w:t>
      </w:r>
    </w:p>
    <w:p w:rsidR="00000000" w:rsidRDefault="00B25A59">
      <w:pPr>
        <w:pStyle w:val="DefaultStyle"/>
        <w:widowControl w:val="0"/>
        <w:rPr>
          <w:sz w:val="22"/>
          <w:szCs w:val="22"/>
        </w:rPr>
      </w:pPr>
      <w:hyperlink r:id="rId12" w:history="1">
        <w:r>
          <w:rPr>
            <w:rStyle w:val="Hyperlink"/>
            <w:color w:val="386EFF"/>
            <w:sz w:val="20"/>
            <w:szCs w:val="20"/>
          </w:rPr>
          <w:t>www.wotn.org</w:t>
        </w:r>
      </w:hyperlink>
      <w:r>
        <w:rPr>
          <w:sz w:val="20"/>
          <w:szCs w:val="20"/>
        </w:rPr>
        <w:t> </w:t>
      </w:r>
      <w:r>
        <w:rPr>
          <w:sz w:val="20"/>
          <w:szCs w:val="20"/>
        </w:rPr>
        <w:t xml:space="preserve"> </w:t>
      </w:r>
      <w:r>
        <w:rPr>
          <w:sz w:val="20"/>
          <w:szCs w:val="20"/>
        </w:rPr>
        <w:t> </w:t>
      </w:r>
      <w:r>
        <w:rPr>
          <w:sz w:val="20"/>
          <w:szCs w:val="20"/>
        </w:rPr>
        <w:t xml:space="preserve"> </w:t>
      </w:r>
      <w:r>
        <w:rPr>
          <w:sz w:val="20"/>
          <w:szCs w:val="20"/>
        </w:rPr>
        <w:t> </w:t>
      </w:r>
      <w:r>
        <w:rPr>
          <w:sz w:val="20"/>
          <w:szCs w:val="20"/>
        </w:rPr>
        <w:t xml:space="preserve"> 952-746-6100</w:t>
      </w:r>
    </w:p>
    <w:p w:rsidR="00000000" w:rsidRDefault="00B25A59">
      <w:pPr>
        <w:pStyle w:val="DefaultStyle"/>
        <w:widowControl w:val="0"/>
        <w:rPr>
          <w:sz w:val="22"/>
          <w:szCs w:val="22"/>
        </w:rPr>
      </w:pPr>
      <w:r>
        <w:rPr>
          <w:sz w:val="22"/>
          <w:szCs w:val="22"/>
        </w:rPr>
        <w:t>Military History Book Club, Har Mar Barnes &amp; Noble:</w:t>
      </w:r>
      <w:r>
        <w:rPr>
          <w:rFonts w:ascii="TimesNewRomanPS-ItalicMT" w:hAnsi="TimesNewRomanPS-ItalicMT" w:cs="TimesNewRomanPS-ItalicMT"/>
          <w:i/>
          <w:iCs/>
          <w:sz w:val="22"/>
          <w:szCs w:val="22"/>
        </w:rPr>
        <w:t xml:space="preserve"> </w:t>
      </w:r>
      <w:r>
        <w:rPr>
          <w:sz w:val="22"/>
          <w:szCs w:val="22"/>
        </w:rPr>
        <w:t xml:space="preserve">- Toll, </w:t>
      </w:r>
      <w:r>
        <w:rPr>
          <w:rFonts w:ascii="TimesNewRomanPS-ItalicMT" w:hAnsi="TimesNewRomanPS-ItalicMT" w:cs="TimesNewRomanPS-ItalicMT"/>
          <w:i/>
          <w:iCs/>
          <w:sz w:val="22"/>
          <w:szCs w:val="22"/>
        </w:rPr>
        <w:t>Conquering Tide</w:t>
      </w:r>
      <w:r>
        <w:rPr>
          <w:sz w:val="22"/>
          <w:szCs w:val="22"/>
        </w:rPr>
        <w:t xml:space="preserve"> - 31 Jan. 2018 </w:t>
      </w:r>
      <w:r>
        <w:rPr>
          <w:rFonts w:ascii="TimesNewRomanPS-ItalicMT" w:hAnsi="TimesNewRomanPS-ItalicMT" w:cs="TimesNewRomanPS-ItalicMT"/>
          <w:i/>
          <w:iCs/>
          <w:sz w:val="22"/>
          <w:szCs w:val="22"/>
        </w:rPr>
        <w:t>-</w:t>
      </w:r>
      <w:r>
        <w:rPr>
          <w:sz w:val="22"/>
          <w:szCs w:val="22"/>
        </w:rPr>
        <w:t xml:space="preserve"> </w:t>
      </w:r>
      <w:hyperlink r:id="rId13" w:history="1">
        <w:r>
          <w:rPr>
            <w:rStyle w:val="Hyperlink"/>
            <w:color w:val="386EFF"/>
            <w:sz w:val="22"/>
            <w:szCs w:val="22"/>
            <w:u w:color="386EFF"/>
          </w:rPr>
          <w:t>sdaubenspeck52@gmail.com</w:t>
        </w:r>
      </w:hyperlink>
      <w:r>
        <w:rPr>
          <w:sz w:val="22"/>
          <w:szCs w:val="22"/>
        </w:rPr>
        <w:t> </w:t>
      </w:r>
    </w:p>
    <w:p w:rsidR="00000000" w:rsidRDefault="00B25A59">
      <w:pPr>
        <w:pStyle w:val="DefaultStyle"/>
        <w:tabs>
          <w:tab w:val="left" w:pos="270"/>
          <w:tab w:val="left" w:pos="1800"/>
        </w:tabs>
        <w:rPr>
          <w:sz w:val="20"/>
          <w:szCs w:val="20"/>
        </w:rPr>
      </w:pPr>
      <w:r>
        <w:rPr>
          <w:sz w:val="20"/>
          <w:szCs w:val="20"/>
        </w:rPr>
        <w:t>Honor Flight</w:t>
      </w:r>
      <w:r>
        <w:rPr>
          <w:sz w:val="20"/>
          <w:szCs w:val="20"/>
        </w:rPr>
        <w:t> </w:t>
      </w:r>
      <w:r>
        <w:rPr>
          <w:sz w:val="20"/>
          <w:szCs w:val="20"/>
        </w:rPr>
        <w:t xml:space="preserve"> -</w:t>
      </w:r>
      <w:r>
        <w:rPr>
          <w:sz w:val="20"/>
          <w:szCs w:val="20"/>
        </w:rPr>
        <w:t> </w:t>
      </w:r>
      <w:r>
        <w:rPr>
          <w:sz w:val="20"/>
          <w:szCs w:val="20"/>
        </w:rPr>
        <w:t xml:space="preserve"> Jerry Kyser</w:t>
      </w:r>
      <w:r>
        <w:rPr>
          <w:sz w:val="20"/>
          <w:szCs w:val="20"/>
        </w:rPr>
        <w:t> </w:t>
      </w:r>
      <w:r>
        <w:rPr>
          <w:sz w:val="20"/>
          <w:szCs w:val="20"/>
        </w:rPr>
        <w:t xml:space="preserve"> -</w:t>
      </w:r>
      <w:r>
        <w:rPr>
          <w:sz w:val="20"/>
          <w:szCs w:val="20"/>
        </w:rPr>
        <w:t> </w:t>
      </w:r>
      <w:r>
        <w:rPr>
          <w:sz w:val="20"/>
          <w:szCs w:val="20"/>
        </w:rPr>
        <w:t xml:space="preserve"> </w:t>
      </w:r>
      <w:hyperlink r:id="rId14" w:history="1">
        <w:r>
          <w:rPr>
            <w:rStyle w:val="Hyperlink"/>
            <w:color w:val="0050B1"/>
            <w:sz w:val="20"/>
            <w:szCs w:val="20"/>
          </w:rPr>
          <w:t>crazyjerry45@hotmai</w:t>
        </w:r>
        <w:r>
          <w:rPr>
            <w:rStyle w:val="Hyperlink"/>
            <w:color w:val="0050B1"/>
            <w:sz w:val="20"/>
            <w:szCs w:val="20"/>
          </w:rPr>
          <w:t>l</w:t>
        </w:r>
      </w:hyperlink>
      <w:r>
        <w:rPr>
          <w:sz w:val="20"/>
          <w:szCs w:val="20"/>
        </w:rPr>
        <w:t> </w:t>
      </w:r>
      <w:r>
        <w:rPr>
          <w:sz w:val="20"/>
          <w:szCs w:val="20"/>
        </w:rPr>
        <w:t xml:space="preserve"> -</w:t>
      </w:r>
      <w:r>
        <w:rPr>
          <w:sz w:val="20"/>
          <w:szCs w:val="20"/>
        </w:rPr>
        <w:t> </w:t>
      </w:r>
      <w:r>
        <w:rPr>
          <w:sz w:val="20"/>
          <w:szCs w:val="20"/>
        </w:rPr>
        <w:t xml:space="preserve"> 651-338-2717</w:t>
      </w:r>
    </w:p>
    <w:p w:rsidR="00000000" w:rsidRDefault="00B25A59">
      <w:pPr>
        <w:pStyle w:val="DefaultStyle"/>
        <w:widowControl w:val="0"/>
        <w:tabs>
          <w:tab w:val="left" w:pos="270"/>
        </w:tabs>
        <w:rPr>
          <w:sz w:val="22"/>
          <w:szCs w:val="22"/>
        </w:rPr>
      </w:pPr>
      <w:r>
        <w:rPr>
          <w:sz w:val="20"/>
          <w:szCs w:val="20"/>
        </w:rPr>
        <w:t>CAF</w:t>
      </w:r>
      <w:r>
        <w:rPr>
          <w:sz w:val="20"/>
          <w:szCs w:val="20"/>
        </w:rPr>
        <w:t> </w:t>
      </w:r>
      <w:r>
        <w:rPr>
          <w:sz w:val="20"/>
          <w:szCs w:val="20"/>
        </w:rPr>
        <w:t xml:space="preserve"> -</w:t>
      </w:r>
      <w:r>
        <w:rPr>
          <w:sz w:val="20"/>
          <w:szCs w:val="20"/>
        </w:rPr>
        <w:t> </w:t>
      </w:r>
      <w:r>
        <w:rPr>
          <w:sz w:val="20"/>
          <w:szCs w:val="20"/>
        </w:rPr>
        <w:t xml:space="preserve"> Commemorative Air </w:t>
      </w:r>
      <w:r>
        <w:rPr>
          <w:sz w:val="20"/>
          <w:szCs w:val="20"/>
        </w:rPr>
        <w:t>Force</w:t>
      </w:r>
      <w:r>
        <w:rPr>
          <w:sz w:val="20"/>
          <w:szCs w:val="20"/>
        </w:rPr>
        <w:t> </w:t>
      </w:r>
      <w:r>
        <w:rPr>
          <w:sz w:val="20"/>
          <w:szCs w:val="20"/>
        </w:rPr>
        <w:t xml:space="preserve"> -</w:t>
      </w:r>
      <w:r>
        <w:rPr>
          <w:sz w:val="20"/>
          <w:szCs w:val="20"/>
        </w:rPr>
        <w:t> </w:t>
      </w:r>
      <w:r>
        <w:rPr>
          <w:sz w:val="20"/>
          <w:szCs w:val="20"/>
        </w:rPr>
        <w:t xml:space="preserve"> </w:t>
      </w:r>
      <w:hyperlink r:id="rId15" w:history="1">
        <w:r>
          <w:rPr>
            <w:rStyle w:val="Hyperlink"/>
            <w:color w:val="0050B1"/>
            <w:sz w:val="20"/>
            <w:szCs w:val="20"/>
          </w:rPr>
          <w:t>www.cafmn.org</w:t>
        </w:r>
      </w:hyperlink>
      <w:r>
        <w:rPr>
          <w:sz w:val="20"/>
          <w:szCs w:val="20"/>
        </w:rPr>
        <w:t> </w:t>
      </w:r>
      <w:r>
        <w:rPr>
          <w:sz w:val="20"/>
          <w:szCs w:val="20"/>
        </w:rPr>
        <w:t>651-455-6942</w:t>
      </w:r>
    </w:p>
    <w:p w:rsidR="00000000" w:rsidRDefault="00B25A59">
      <w:pPr>
        <w:pStyle w:val="DefaultStyle"/>
        <w:widowControl w:val="0"/>
        <w:rPr>
          <w:rFonts w:ascii="Times-Roman" w:hAnsi="Times-Roman" w:cs="Times-Roman"/>
          <w:sz w:val="10"/>
          <w:szCs w:val="10"/>
        </w:rPr>
      </w:pPr>
    </w:p>
    <w:p w:rsidR="00000000" w:rsidRDefault="00B25A59">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to drive our veterans to and from meetings. Please contact Don Patton at cell 612-867-5144 or </w:t>
      </w:r>
      <w:hyperlink r:id="rId16" w:history="1">
        <w:r>
          <w:rPr>
            <w:rStyle w:val="Hyperlink"/>
            <w:rFonts w:ascii="TimesNewRomanPS-BoldMT" w:hAnsi="TimesNewRomanPS-BoldMT" w:cs="TimesNewRomanPS-BoldMT"/>
            <w:b/>
            <w:bCs/>
            <w:sz w:val="22"/>
            <w:szCs w:val="22"/>
          </w:rPr>
          <w:t>coldpatton@yahoo.com</w:t>
        </w:r>
      </w:hyperlink>
    </w:p>
    <w:p w:rsidR="00000000" w:rsidRDefault="00B25A59">
      <w:pPr>
        <w:widowControl w:val="0"/>
        <w:tabs>
          <w:tab w:val="left" w:pos="212"/>
        </w:tabs>
        <w:rPr>
          <w:sz w:val="14"/>
          <w:szCs w:val="14"/>
        </w:rPr>
      </w:pPr>
    </w:p>
    <w:p w:rsidR="00000000" w:rsidRDefault="00B25A59">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2018</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t>11 Jan.    Eastern Front: Stalingrad</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t>8 Feb.</w:t>
      </w:r>
      <w:r>
        <w:rPr>
          <w:rFonts w:ascii="TimesNewRomanPSMT" w:hAnsi="TimesNewRomanPSMT" w:cs="TimesNewRomanPSMT"/>
          <w:sz w:val="22"/>
          <w:szCs w:val="22"/>
        </w:rPr>
        <w:tab/>
        <w:t xml:space="preserve">  Berlin Airlift</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t>8 Mar.</w:t>
      </w:r>
      <w:r>
        <w:rPr>
          <w:rFonts w:ascii="TimesNewRomanPSMT" w:hAnsi="TimesNewRomanPSMT" w:cs="TimesNewRomanPSMT"/>
          <w:sz w:val="22"/>
          <w:szCs w:val="22"/>
        </w:rPr>
        <w:tab/>
        <w:t xml:space="preserve">  American Airpower in World War II</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t>22 Mar.</w:t>
      </w:r>
      <w:r>
        <w:rPr>
          <w:rFonts w:ascii="TimesNewRomanPSMT" w:hAnsi="TimesNewRomanPSMT" w:cs="TimesNewRomanPSMT"/>
          <w:sz w:val="22"/>
          <w:szCs w:val="22"/>
        </w:rPr>
        <w:tab/>
        <w:t xml:space="preserve">  OSS Woman v. Imperial Japan</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t>12 Apr.   Lucian Truscott: Greatest Field CO</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t>10 May   Marshall Plan: Saving Victory</w:t>
      </w:r>
    </w:p>
    <w:p w:rsidR="00000000" w:rsidRDefault="00B25A59">
      <w:pPr>
        <w:widowControl w:val="0"/>
        <w:rPr>
          <w:rFonts w:ascii="TimesNewRomanPSMT" w:hAnsi="TimesNewRomanPSMT" w:cs="TimesNewRomanPSMT"/>
          <w:sz w:val="16"/>
          <w:szCs w:val="16"/>
        </w:rPr>
      </w:pP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281.25pt">
            <v:imagedata r:id="rId17" o:title="" cropbottom="9346f"/>
          </v:shape>
        </w:pict>
      </w:r>
    </w:p>
    <w:p w:rsidR="00000000" w:rsidRDefault="00B25A59">
      <w:pPr>
        <w:widowControl w:val="0"/>
        <w:rPr>
          <w:rFonts w:ascii="TimesNewRomanPSMT" w:hAnsi="TimesNewRomanPSMT" w:cs="TimesNewRomanPSMT"/>
          <w:sz w:val="16"/>
          <w:szCs w:val="16"/>
        </w:rPr>
      </w:pPr>
      <w:r>
        <w:rPr>
          <w:rFonts w:ascii="TimesNewRomanPSMT" w:hAnsi="TimesNewRomanPSMT" w:cs="TimesNewRomanPSMT"/>
          <w:sz w:val="16"/>
          <w:szCs w:val="16"/>
        </w:rPr>
        <w:t xml:space="preserve">CMH, </w:t>
      </w:r>
      <w:r>
        <w:rPr>
          <w:rFonts w:ascii="TimesNewRomanPS-ItalicMT" w:hAnsi="TimesNewRomanPS-ItalicMT" w:cs="TimesNewRomanPS-ItalicMT"/>
          <w:i/>
          <w:iCs/>
          <w:sz w:val="16"/>
          <w:szCs w:val="16"/>
        </w:rPr>
        <w:t>Battle of the Bulge</w:t>
      </w:r>
      <w:r>
        <w:rPr>
          <w:rFonts w:ascii="TimesNewRomanPSMT" w:hAnsi="TimesNewRomanPSMT" w:cs="TimesNewRomanPSMT"/>
          <w:sz w:val="16"/>
          <w:szCs w:val="16"/>
        </w:rPr>
        <w:t>.</w:t>
      </w:r>
    </w:p>
    <w:p w:rsidR="00000000" w:rsidRDefault="00B25A59">
      <w:pPr>
        <w:widowControl w:val="0"/>
        <w:rPr>
          <w:rFonts w:ascii="TimesNewRomanPSMT" w:hAnsi="TimesNewRomanPSMT" w:cs="TimesNewRomanPSMT"/>
          <w:sz w:val="22"/>
          <w:szCs w:val="22"/>
        </w:rPr>
      </w:pPr>
      <w:r>
        <w:rPr>
          <w:rFonts w:ascii="TimesNewRomanPSMT" w:hAnsi="TimesNewRomanPSMT" w:cs="TimesNewRomanPSMT"/>
          <w:sz w:val="22"/>
          <w:szCs w:val="22"/>
        </w:rPr>
        <w:pict>
          <v:shape id="_x0000_i1026" type="#_x0000_t75" style="width:226.5pt;height:287.25pt">
            <v:imagedata r:id="rId18" o:title="" cropbottom="9216f"/>
          </v:shape>
        </w:pict>
      </w:r>
    </w:p>
    <w:p w:rsidR="00B25A59" w:rsidRDefault="00B25A59">
      <w:pPr>
        <w:widowControl w:val="0"/>
        <w:rPr>
          <w:rFonts w:ascii="TimesNewRomanPSMT" w:hAnsi="TimesNewRomanPSMT" w:cs="TimesNewRomanPSMT"/>
          <w:sz w:val="16"/>
          <w:szCs w:val="16"/>
        </w:rPr>
      </w:pPr>
      <w:r>
        <w:rPr>
          <w:rFonts w:ascii="TimesNewRomanPSMT" w:hAnsi="TimesNewRomanPSMT" w:cs="TimesNewRomanPSMT"/>
          <w:sz w:val="16"/>
          <w:szCs w:val="16"/>
        </w:rPr>
        <w:t xml:space="preserve">CMH, </w:t>
      </w:r>
      <w:r>
        <w:rPr>
          <w:rFonts w:ascii="TimesNewRomanPS-ItalicMT" w:hAnsi="TimesNewRomanPS-ItalicMT" w:cs="TimesNewRomanPS-ItalicMT"/>
          <w:i/>
          <w:iCs/>
          <w:sz w:val="16"/>
          <w:szCs w:val="16"/>
        </w:rPr>
        <w:t>Battle of the Bulge</w:t>
      </w:r>
      <w:r>
        <w:rPr>
          <w:rFonts w:ascii="TimesNewRomanPSMT" w:hAnsi="TimesNewRomanPSMT" w:cs="TimesNewRomanPSMT"/>
          <w:sz w:val="16"/>
          <w:szCs w:val="16"/>
        </w:rPr>
        <w:t>.</w:t>
      </w:r>
    </w:p>
    <w:sectPr w:rsidR="00B25A59">
      <w:headerReference w:type="default" r:id="rId19"/>
      <w:footerReference w:type="default" r:id="rId20"/>
      <w:headerReference w:type="first" r:id="rId21"/>
      <w:footerReference w:type="first" r:id="rId22"/>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59" w:rsidRDefault="00B25A59">
      <w:r>
        <w:separator/>
      </w:r>
    </w:p>
  </w:endnote>
  <w:endnote w:type="continuationSeparator" w:id="0">
    <w:p w:rsidR="00B25A59" w:rsidRDefault="00B2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AmazonEmber-Regular">
    <w:altName w:val="Calibri"/>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25A59">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B25A59">
    <w:pPr>
      <w:pStyle w:val="DefaultStyle"/>
      <w:rPr>
        <w:rStyle w:val="Hyperlink"/>
      </w:rPr>
    </w:pPr>
    <w:r w:rsidRPr="00B25A59">
      <w:rPr>
        <w:rFonts w:cs="Times New Roman"/>
      </w:rPr>
      <w:fldChar w:fldCharType="begin"/>
    </w:r>
    <w:r w:rsidRPr="00B25A59">
      <w:rPr>
        <w:rFonts w:cs="Times New Roman"/>
      </w:rPr>
      <w:instrText>HYPERLINK "http://youtube.com/ww2hrt"</w:instrText>
    </w:r>
    <w:r w:rsidRPr="00B25A59">
      <w:rPr>
        <w:rFonts w:cs="Times New Roman"/>
      </w:rPr>
      <w:fldChar w:fldCharType="separate"/>
    </w:r>
    <w:r>
      <w:rPr>
        <w:rStyle w:val="Hyperlink"/>
      </w:rPr>
      <w:t>​</w:t>
    </w:r>
  </w:p>
  <w:p w:rsidR="00000000" w:rsidRDefault="00B25A59">
    <w:r w:rsidRPr="00B25A59">
      <w:rPr>
        <w:rFonts w:ascii="TimesNewRomanPSMT" w:hAnsi="TimesNewRomanPSMT"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25A59">
    <w:pPr>
      <w:pStyle w:val="DefaultStyle"/>
      <w:tabs>
        <w:tab w:val="left" w:pos="270"/>
      </w:tabs>
      <w:spacing w:before="60" w:after="120"/>
    </w:pPr>
    <w:r>
      <w:rPr>
        <w:noProof/>
      </w:rPr>
      <w:pict>
        <v:line id="_x0000_s2049" style="position:absolute;z-index:1;mso-wrap-distance-left:7pt;mso-wrap-distance-top:0;mso-wrap-distance-right:7pt;mso-wrap-distance-bottom:0;mso-position-horizontal-relative:page;mso-position-vertical-relative:page" from="-.5pt,-1.5pt" to="504.95pt,-1.3pt" wrapcoords="0 0 3 7 4 7 682 7 680 4 676 0 0 0" o:allowincell="f" strokeweight="1.5pt">
          <v:shadow on="t" color="black" opacity="52428f" offset="4pt,4pt"/>
          <w10:wrap type="through" anchorx="page" anchory="page"/>
          <w10:anchorlock/>
        </v:line>
      </w:pict>
    </w: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59" w:rsidRDefault="00B25A59">
      <w:r>
        <w:separator/>
      </w:r>
    </w:p>
  </w:footnote>
  <w:footnote w:type="continuationSeparator" w:id="0">
    <w:p w:rsidR="00B25A59" w:rsidRDefault="00B2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25A59">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14 December 2017 —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25A59">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B25A59">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w:t>
    </w:r>
    <w:r>
      <w:rPr>
        <w:rFonts w:ascii="TimesNewRomanPS-BoldItalicMT" w:hAnsi="TimesNewRomanPS-BoldItalicMT" w:cs="TimesNewRomanPS-BoldItalicMT"/>
        <w:b/>
        <w:bCs/>
        <w:i/>
        <w:iCs/>
      </w:rPr>
      <w:t>ber, MD (1951–2009)</w:t>
    </w:r>
  </w:p>
  <w:p w:rsidR="00000000" w:rsidRDefault="00B25A59">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4E0F3"/>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15:restartNumberingAfterBreak="0">
    <w:nsid w:val="581F4DA5"/>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2" w15:restartNumberingAfterBreak="0">
    <w:nsid w:val="5E3C9AD9"/>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15:restartNumberingAfterBreak="0">
    <w:nsid w:val="6F22B8D5"/>
    <w:multiLevelType w:val="multilevel"/>
    <w:tmpl w:val="E1C87976"/>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sDel="0"/>
  <w:doNotTrackMoves/>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F5A"/>
    <w:rsid w:val="004D6F5A"/>
    <w:rsid w:val="00B25A59"/>
    <w:rsid w:val="00CE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ACE2FC6-13F8-4952-B518-ABCFE6C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autoSpaceDE w:val="0"/>
      <w:autoSpaceDN w:val="0"/>
      <w:adjustRightInd w:val="0"/>
    </w:pPr>
    <w:rPr>
      <w:rFonts w:ascii="Times-Roman" w:hAnsi="Times-Roman" w:cs="Times-Roman"/>
      <w:sz w:val="24"/>
      <w:szCs w:val="24"/>
    </w:rPr>
  </w:style>
  <w:style w:type="paragraph" w:styleId="Heading1">
    <w:name w:val="heading 1"/>
    <w:basedOn w:val="Normal"/>
    <w:link w:val="Heading1Char"/>
    <w:uiPriority w:val="99"/>
    <w:qFormat/>
    <w:pPr>
      <w:spacing w:before="280" w:after="280"/>
      <w:outlineLvl w:val="0"/>
    </w:pPr>
    <w:rPr>
      <w:rFonts w:ascii="TimesNewRomanPS-BoldMT" w:hAnsi="TimesNewRomanPS-BoldMT" w:cs="TimesNewRomanPS-BoldMT"/>
      <w:b/>
      <w:bCs/>
      <w:sz w:val="48"/>
      <w:szCs w:val="48"/>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paragraph" w:styleId="Heading3">
    <w:name w:val="heading 3"/>
    <w:basedOn w:val="Heading2"/>
    <w:next w:val="Normal"/>
    <w:link w:val="Heading3Char"/>
    <w:uiPriority w:val="99"/>
    <w:qFormat/>
    <w:pPr>
      <w:outlineLvl w:val="2"/>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pPr>
    <w:rPr>
      <w:rFonts w:ascii="TimesNewRomanPSMT" w:hAnsi="TimesNewRomanPSMT" w:cs="TimesNewRomanPSMT"/>
      <w:sz w:val="24"/>
      <w:szCs w:val="24"/>
    </w:rPr>
  </w:style>
  <w:style w:type="character" w:customStyle="1" w:styleId="Heading2Char">
    <w:name w:val="Heading 2 Char"/>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link w:val="BalloonText"/>
    <w:uiPriority w:val="99"/>
    <w:semiHidden/>
    <w:rPr>
      <w:rFonts w:ascii="Segoe UI" w:hAnsi="Segoe UI" w:cs="Segoe UI"/>
      <w:sz w:val="18"/>
      <w:szCs w:val="18"/>
    </w:rPr>
  </w:style>
  <w:style w:type="character" w:styleId="Hyperlink">
    <w:name w:val="Hyperlink"/>
    <w:uiPriority w:val="99"/>
    <w:rPr>
      <w:color w:val="0000FF"/>
      <w:u w:val="single"/>
    </w:rPr>
  </w:style>
  <w:style w:type="paragraph" w:customStyle="1" w:styleId="TableCell">
    <w:name w:val="Table Cell"/>
    <w:basedOn w:val="Normal"/>
    <w:uiPriority w:val="99"/>
    <w:pPr>
      <w:jc w:val="center"/>
    </w:p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a-size-large">
    <w:name w:val="a-size-large"/>
    <w:uiPriority w:val="99"/>
  </w:style>
  <w:style w:type="character" w:styleId="Emphasis">
    <w:name w:val="Emphasis"/>
    <w:uiPriority w:val="99"/>
    <w:qFormat/>
    <w:rPr>
      <w:i/>
      <w:iCs/>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TableHeader">
    <w:name w:val="Table Header"/>
    <w:basedOn w:val="TableCell"/>
    <w:uiPriority w:val="99"/>
    <w:rPr>
      <w:rFonts w:ascii="Times-Bold" w:hAnsi="Times-Bold" w:cs="Times-Bold"/>
      <w:b/>
      <w:bCs/>
    </w:rPr>
  </w:style>
  <w:style w:type="numbering" w:customStyle="1" w:styleId="BulletList">
    <w:name w:val="Bullet List"/>
    <w:pPr>
      <w:numPr>
        <w:numId w:val="1"/>
      </w:numPr>
    </w:pPr>
  </w:style>
  <w:style w:type="numbering" w:customStyle="1" w:styleId="TieredList">
    <w:name w:val="Tiered List"/>
    <w:pPr>
      <w:numPr>
        <w:numId w:val="2"/>
      </w:numPr>
    </w:pPr>
  </w:style>
  <w:style w:type="numbering" w:customStyle="1" w:styleId="NumberList">
    <w:name w:val="Number List"/>
    <w:pPr>
      <w:numPr>
        <w:numId w:val="3"/>
      </w:numPr>
    </w:pPr>
  </w:style>
  <w:style w:type="numbering" w:customStyle="1" w:styleId="Headings">
    <w:name w:val="Heading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ngmuseum.org/" TargetMode="External"/><Relationship Id="rId13" Type="http://schemas.openxmlformats.org/officeDocument/2006/relationships/hyperlink" Target="mailto:sdaubenspeck52@gmail.co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mnmilitarymuseum.org/" TargetMode="External"/><Relationship Id="rId12" Type="http://schemas.openxmlformats.org/officeDocument/2006/relationships/hyperlink" Target="http://www.wotn.org/"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oldpatton@yaho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enfighterswwiimuseum.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fmn.org/" TargetMode="External"/><Relationship Id="rId23" Type="http://schemas.openxmlformats.org/officeDocument/2006/relationships/fontTable" Target="fontTable.xml"/><Relationship Id="rId10" Type="http://schemas.openxmlformats.org/officeDocument/2006/relationships/hyperlink" Target="http://www.worldwithoutgenocid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snelling.com" TargetMode="External"/><Relationship Id="rId14" Type="http://schemas.openxmlformats.org/officeDocument/2006/relationships/hyperlink" Target="mailto:crazyjerry45@hotmai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May 2009</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dc:description/>
  <cp:lastModifiedBy>Glenn Burgstahler</cp:lastModifiedBy>
  <cp:revision>2</cp:revision>
  <cp:lastPrinted>2017-09-24T21:37:00Z</cp:lastPrinted>
  <dcterms:created xsi:type="dcterms:W3CDTF">2017-12-09T16:17:00Z</dcterms:created>
  <dcterms:modified xsi:type="dcterms:W3CDTF">2017-12-09T16:17:00Z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